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718B" w14:textId="354C7CEB" w:rsidR="005F4768" w:rsidRPr="00B46382" w:rsidRDefault="005F4768" w:rsidP="004D5E82">
      <w:pPr>
        <w:pStyle w:val="Heading1"/>
      </w:pPr>
      <w:r w:rsidRPr="00B46382">
        <w:t xml:space="preserve">Kirklees College Access and Participation Plan </w:t>
      </w:r>
      <w:r w:rsidR="000201C3" w:rsidRPr="00B46382">
        <w:t xml:space="preserve">(APP) </w:t>
      </w:r>
      <w:r w:rsidR="0023737F" w:rsidRPr="00B46382">
        <w:t>2025-26 to 2028-29</w:t>
      </w:r>
    </w:p>
    <w:p w14:paraId="0455617B" w14:textId="633DD779" w:rsidR="000201C3" w:rsidRPr="004D5E82" w:rsidRDefault="004D5E82" w:rsidP="004D5E82">
      <w:pPr>
        <w:pStyle w:val="Heading2"/>
      </w:pPr>
      <w:r>
        <w:t xml:space="preserve">1. </w:t>
      </w:r>
      <w:r w:rsidR="00F37218" w:rsidRPr="00B46382">
        <w:t xml:space="preserve">Introduction &amp; Strategic Aim </w:t>
      </w:r>
    </w:p>
    <w:p w14:paraId="4334BAED" w14:textId="42C202D4" w:rsidR="00F91D22" w:rsidRPr="00B46382" w:rsidRDefault="0058264B" w:rsidP="00F91D22">
      <w:pPr>
        <w:rPr>
          <w:rStyle w:val="normaltextrun"/>
          <w:rFonts w:cs="Arial"/>
          <w:szCs w:val="24"/>
        </w:rPr>
      </w:pPr>
      <w:r w:rsidRPr="00B46382">
        <w:rPr>
          <w:rFonts w:cs="Arial"/>
          <w:szCs w:val="24"/>
        </w:rPr>
        <w:t xml:space="preserve">Kirklees College </w:t>
      </w:r>
      <w:r w:rsidR="000201C3" w:rsidRPr="00B46382">
        <w:rPr>
          <w:rFonts w:cs="Arial"/>
          <w:szCs w:val="24"/>
        </w:rPr>
        <w:t xml:space="preserve">(KC) </w:t>
      </w:r>
      <w:r w:rsidRPr="00B46382">
        <w:rPr>
          <w:rFonts w:cs="Arial"/>
          <w:szCs w:val="24"/>
        </w:rPr>
        <w:t xml:space="preserve">is </w:t>
      </w:r>
      <w:r w:rsidR="006D1240" w:rsidRPr="00B46382">
        <w:rPr>
          <w:rFonts w:cs="Arial"/>
          <w:szCs w:val="24"/>
        </w:rPr>
        <w:t>in the heart of West Yorkshire</w:t>
      </w:r>
      <w:r w:rsidR="004C5B2C" w:rsidRPr="00B46382">
        <w:rPr>
          <w:rFonts w:cs="Arial"/>
          <w:szCs w:val="24"/>
        </w:rPr>
        <w:t>. Its</w:t>
      </w:r>
      <w:r w:rsidR="00616F66" w:rsidRPr="00B46382">
        <w:rPr>
          <w:rFonts w:cs="Arial"/>
          <w:szCs w:val="24"/>
        </w:rPr>
        <w:t xml:space="preserve"> student community reflects the diversity of the local area</w:t>
      </w:r>
      <w:r w:rsidR="00F91D22" w:rsidRPr="00B46382">
        <w:rPr>
          <w:rFonts w:cs="Arial"/>
          <w:szCs w:val="24"/>
        </w:rPr>
        <w:t xml:space="preserve"> and offers a highly inclusive provision which supports both young people and adults from all communities and particularly those from most disadvantaged backgrounds to progress and develop skills leading to job outcomes or higher study. </w:t>
      </w:r>
      <w:r w:rsidR="00F91D22" w:rsidRPr="00B46382">
        <w:rPr>
          <w:rStyle w:val="normaltextrun"/>
          <w:rFonts w:cs="Arial"/>
          <w:szCs w:val="24"/>
          <w:lang w:val="en-US"/>
        </w:rPr>
        <w:t>K</w:t>
      </w:r>
      <w:r w:rsidR="00745C46" w:rsidRPr="00B46382">
        <w:rPr>
          <w:rStyle w:val="normaltextrun"/>
          <w:rFonts w:cs="Arial"/>
          <w:szCs w:val="24"/>
          <w:lang w:val="en-US"/>
        </w:rPr>
        <w:t>C</w:t>
      </w:r>
      <w:r w:rsidR="00F91D22" w:rsidRPr="00B46382">
        <w:rPr>
          <w:rStyle w:val="normaltextrun"/>
          <w:rFonts w:cs="Arial"/>
          <w:szCs w:val="24"/>
          <w:lang w:val="en-US"/>
        </w:rPr>
        <w:t xml:space="preserve"> has a strategic focus on providing the knowledge, skills, </w:t>
      </w:r>
      <w:proofErr w:type="spellStart"/>
      <w:r w:rsidR="00F91D22" w:rsidRPr="00B46382">
        <w:rPr>
          <w:rStyle w:val="normaltextrun"/>
          <w:rFonts w:cs="Arial"/>
          <w:szCs w:val="24"/>
          <w:lang w:val="en-US"/>
        </w:rPr>
        <w:t>behaviours</w:t>
      </w:r>
      <w:proofErr w:type="spellEnd"/>
      <w:r w:rsidR="00F91D22" w:rsidRPr="00B46382">
        <w:rPr>
          <w:rStyle w:val="normaltextrun"/>
          <w:rFonts w:cs="Arial"/>
          <w:szCs w:val="24"/>
          <w:lang w:val="en-US"/>
        </w:rPr>
        <w:t xml:space="preserve"> and expertise needed to address skills shortage areas and support economic growth in the Kirklees region. </w:t>
      </w:r>
    </w:p>
    <w:p w14:paraId="19185F7F" w14:textId="45866CD9" w:rsidR="00AD14B4" w:rsidRPr="00B46382" w:rsidRDefault="0058264B" w:rsidP="00FD6CD1">
      <w:pPr>
        <w:rPr>
          <w:rFonts w:cs="Arial"/>
          <w:szCs w:val="24"/>
        </w:rPr>
      </w:pPr>
      <w:r w:rsidRPr="00B46382">
        <w:rPr>
          <w:rStyle w:val="normaltextrun"/>
          <w:rFonts w:eastAsiaTheme="majorEastAsia" w:cs="Arial"/>
          <w:szCs w:val="24"/>
          <w:lang w:val="en-US"/>
        </w:rPr>
        <w:t>The college makes a significant difference to improving the lives of those who are most disadvantaged and at risk of long-term unemployment and cross-generational poverty because of poor educational outcomes. Although the Kirklees district has areas of relative affluence, it also has areas of significant deprivation. Using Indices of Multiple Deprivation</w:t>
      </w:r>
      <w:r w:rsidR="00377705" w:rsidRPr="00B46382">
        <w:rPr>
          <w:rStyle w:val="normaltextrun"/>
          <w:rFonts w:eastAsiaTheme="majorEastAsia" w:cs="Arial"/>
          <w:szCs w:val="24"/>
          <w:lang w:val="en-US"/>
        </w:rPr>
        <w:t xml:space="preserve"> (IMD)</w:t>
      </w:r>
      <w:r w:rsidRPr="00B46382">
        <w:rPr>
          <w:rStyle w:val="normaltextrun"/>
          <w:rFonts w:eastAsiaTheme="majorEastAsia" w:cs="Arial"/>
          <w:szCs w:val="24"/>
          <w:lang w:val="en-US"/>
        </w:rPr>
        <w:t xml:space="preserve">, around 64.5% of the college’s 16-18 students and 67.5% of our 19+ students </w:t>
      </w:r>
      <w:r w:rsidR="000201C3" w:rsidRPr="00B46382">
        <w:rPr>
          <w:rStyle w:val="normaltextrun"/>
          <w:rFonts w:eastAsiaTheme="majorEastAsia" w:cs="Arial"/>
          <w:szCs w:val="24"/>
          <w:lang w:val="en-US"/>
        </w:rPr>
        <w:t>are</w:t>
      </w:r>
      <w:r w:rsidRPr="00B46382">
        <w:rPr>
          <w:rStyle w:val="normaltextrun"/>
          <w:rFonts w:eastAsiaTheme="majorEastAsia" w:cs="Arial"/>
          <w:szCs w:val="24"/>
          <w:lang w:val="en-US"/>
        </w:rPr>
        <w:t xml:space="preserve"> in the three bands of highest deprivation. This is significantly higher than General Further Education</w:t>
      </w:r>
      <w:r w:rsidR="000201C3" w:rsidRPr="00B46382">
        <w:rPr>
          <w:rStyle w:val="normaltextrun"/>
          <w:rFonts w:eastAsiaTheme="majorEastAsia" w:cs="Arial"/>
          <w:szCs w:val="24"/>
          <w:lang w:val="en-US"/>
        </w:rPr>
        <w:t xml:space="preserve"> (GFE)</w:t>
      </w:r>
      <w:r w:rsidRPr="00B46382">
        <w:rPr>
          <w:rStyle w:val="normaltextrun"/>
          <w:rFonts w:eastAsiaTheme="majorEastAsia" w:cs="Arial"/>
          <w:szCs w:val="24"/>
          <w:lang w:val="en-US"/>
        </w:rPr>
        <w:t xml:space="preserve"> colleges, where these figures are 41.4% and 46.5% respectively. </w:t>
      </w:r>
      <w:r w:rsidRPr="00B46382">
        <w:rPr>
          <w:rFonts w:cs="Arial"/>
          <w:szCs w:val="24"/>
          <w:lang w:val="en-US"/>
        </w:rPr>
        <w:t xml:space="preserve">Our students have significantly lower than average starting points. Only 54% of our students have English at grade 4 or higher at the start of the academic year, putting us 201 out of 222 GFE colleges. For </w:t>
      </w:r>
      <w:proofErr w:type="spellStart"/>
      <w:r w:rsidRPr="00B46382">
        <w:rPr>
          <w:rFonts w:cs="Arial"/>
          <w:szCs w:val="24"/>
          <w:lang w:val="en-US"/>
        </w:rPr>
        <w:t>maths</w:t>
      </w:r>
      <w:proofErr w:type="spellEnd"/>
      <w:r w:rsidRPr="00B46382">
        <w:rPr>
          <w:rFonts w:cs="Arial"/>
          <w:szCs w:val="24"/>
          <w:lang w:val="en-US"/>
        </w:rPr>
        <w:t>, only 42% of students have grade 4 or higher, which puts us at 207 out of 222.</w:t>
      </w:r>
      <w:r w:rsidRPr="00B46382">
        <w:rPr>
          <w:rFonts w:cs="Arial"/>
          <w:szCs w:val="24"/>
        </w:rPr>
        <w:t> </w:t>
      </w:r>
      <w:r w:rsidRPr="00B46382">
        <w:rPr>
          <w:rFonts w:cs="Arial"/>
          <w:szCs w:val="24"/>
          <w:lang w:val="en-US"/>
        </w:rPr>
        <w:t>K</w:t>
      </w:r>
      <w:r w:rsidR="000201C3" w:rsidRPr="00B46382">
        <w:rPr>
          <w:rFonts w:cs="Arial"/>
          <w:szCs w:val="24"/>
          <w:lang w:val="en-US"/>
        </w:rPr>
        <w:t>C</w:t>
      </w:r>
      <w:r w:rsidRPr="00B46382">
        <w:rPr>
          <w:rFonts w:cs="Arial"/>
          <w:szCs w:val="24"/>
          <w:lang w:val="en-US"/>
        </w:rPr>
        <w:t xml:space="preserve"> is the key provider of post-16 SEND</w:t>
      </w:r>
      <w:r w:rsidR="001C4AE0" w:rsidRPr="00B46382">
        <w:rPr>
          <w:rFonts w:cs="Arial"/>
          <w:szCs w:val="24"/>
          <w:lang w:val="en-US"/>
        </w:rPr>
        <w:t xml:space="preserve"> (Special Educational Need</w:t>
      </w:r>
      <w:r w:rsidR="000201C3" w:rsidRPr="00B46382">
        <w:rPr>
          <w:rFonts w:cs="Arial"/>
          <w:szCs w:val="24"/>
          <w:lang w:val="en-US"/>
        </w:rPr>
        <w:t>s</w:t>
      </w:r>
      <w:r w:rsidR="001C4AE0" w:rsidRPr="00B46382">
        <w:rPr>
          <w:rFonts w:cs="Arial"/>
          <w:szCs w:val="24"/>
          <w:lang w:val="en-US"/>
        </w:rPr>
        <w:t xml:space="preserve"> and Disability)</w:t>
      </w:r>
      <w:r w:rsidRPr="00B46382">
        <w:rPr>
          <w:rFonts w:cs="Arial"/>
          <w:szCs w:val="24"/>
          <w:lang w:val="en-US"/>
        </w:rPr>
        <w:t xml:space="preserve"> provision in Kirklees and there has been a significant increase in the number of students with EHCPs attending the college in the last three years, from 451 in 2018/19, to 542 in 2022/23.</w:t>
      </w:r>
      <w:r w:rsidRPr="00B46382">
        <w:rPr>
          <w:rFonts w:cs="Arial"/>
          <w:szCs w:val="24"/>
        </w:rPr>
        <w:t> </w:t>
      </w:r>
      <w:r w:rsidR="002B7687" w:rsidRPr="00B46382">
        <w:rPr>
          <w:rFonts w:cs="Arial"/>
          <w:szCs w:val="24"/>
        </w:rPr>
        <w:t xml:space="preserve">We are aware of the challenges </w:t>
      </w:r>
      <w:r w:rsidR="00B73CCB" w:rsidRPr="00B46382">
        <w:rPr>
          <w:rFonts w:cs="Arial"/>
          <w:szCs w:val="24"/>
        </w:rPr>
        <w:t xml:space="preserve">of </w:t>
      </w:r>
      <w:r w:rsidR="002B7687" w:rsidRPr="00B46382">
        <w:rPr>
          <w:rFonts w:cs="Arial"/>
          <w:szCs w:val="24"/>
        </w:rPr>
        <w:t>the local area and how d</w:t>
      </w:r>
      <w:r w:rsidR="00C61D8C" w:rsidRPr="00B46382">
        <w:rPr>
          <w:rFonts w:cs="Arial"/>
          <w:szCs w:val="24"/>
        </w:rPr>
        <w:t>isadvantaged groups face the greatest risk of unemployment and live in areas that are defined as being the most deprived in England, and has worsened in recent years</w:t>
      </w:r>
      <w:r w:rsidR="00B73CCB" w:rsidRPr="00B46382">
        <w:rPr>
          <w:rFonts w:cs="Arial"/>
          <w:szCs w:val="24"/>
        </w:rPr>
        <w:t>.</w:t>
      </w:r>
    </w:p>
    <w:p w14:paraId="75E7C455" w14:textId="0B6C8C26" w:rsidR="0007034A" w:rsidRPr="00B46382" w:rsidRDefault="00106A98" w:rsidP="0033716D">
      <w:pPr>
        <w:rPr>
          <w:rFonts w:cs="Arial"/>
          <w:szCs w:val="24"/>
        </w:rPr>
      </w:pPr>
      <w:r w:rsidRPr="00B46382">
        <w:rPr>
          <w:rFonts w:cs="Arial"/>
          <w:szCs w:val="24"/>
        </w:rPr>
        <w:t xml:space="preserve">The college has a common set of values for both students and staff: ‘Kindness’, ‘Unity’ and ‘Excellence’. </w:t>
      </w:r>
      <w:r w:rsidR="007C7C92" w:rsidRPr="00B46382">
        <w:rPr>
          <w:rFonts w:cs="Arial"/>
          <w:szCs w:val="24"/>
        </w:rPr>
        <w:t>The College firmly locates its higher skills provision at the core of its mission, which is simple</w:t>
      </w:r>
      <w:r w:rsidR="00EE04D5" w:rsidRPr="00B46382">
        <w:rPr>
          <w:rFonts w:cs="Arial"/>
          <w:szCs w:val="24"/>
        </w:rPr>
        <w:t xml:space="preserve"> and at the heart of everything we do</w:t>
      </w:r>
      <w:r w:rsidR="007C7C92" w:rsidRPr="00B46382">
        <w:rPr>
          <w:rFonts w:cs="Arial"/>
          <w:szCs w:val="24"/>
        </w:rPr>
        <w:t xml:space="preserve">; </w:t>
      </w:r>
      <w:r w:rsidR="007C7C92" w:rsidRPr="00B46382">
        <w:rPr>
          <w:rFonts w:cs="Arial"/>
          <w:i/>
          <w:szCs w:val="24"/>
        </w:rPr>
        <w:t>‘Creating Opportunities, Changing Lives’</w:t>
      </w:r>
      <w:r w:rsidR="007C7C92" w:rsidRPr="00B46382">
        <w:rPr>
          <w:rFonts w:cs="Arial"/>
          <w:szCs w:val="24"/>
        </w:rPr>
        <w:t xml:space="preserve">. </w:t>
      </w:r>
      <w:r w:rsidR="002D50A3" w:rsidRPr="00B46382">
        <w:rPr>
          <w:rFonts w:cs="Arial"/>
          <w:szCs w:val="24"/>
        </w:rPr>
        <w:t>Our</w:t>
      </w:r>
      <w:r w:rsidR="007C7C92" w:rsidRPr="00B46382">
        <w:rPr>
          <w:rFonts w:cs="Arial"/>
          <w:szCs w:val="24"/>
        </w:rPr>
        <w:t xml:space="preserve"> mission is underpinned by the following Strategic Goals</w:t>
      </w:r>
      <w:r w:rsidR="0007034A" w:rsidRPr="00B46382">
        <w:rPr>
          <w:rFonts w:cs="Arial"/>
          <w:szCs w:val="24"/>
        </w:rPr>
        <w:t xml:space="preserve"> (2022-25):</w:t>
      </w:r>
    </w:p>
    <w:p w14:paraId="2E8C1928" w14:textId="3D464840" w:rsidR="00B46382" w:rsidRPr="004D5E82" w:rsidRDefault="004D5E82" w:rsidP="004D5E82">
      <w:pPr>
        <w:pStyle w:val="Heading3"/>
      </w:pPr>
      <w:r w:rsidRPr="004D5E82">
        <w:t xml:space="preserve">1.1. </w:t>
      </w:r>
      <w:r w:rsidR="00B46382" w:rsidRPr="004D5E82">
        <w:t xml:space="preserve">People </w:t>
      </w:r>
    </w:p>
    <w:p w14:paraId="4FADD5D8" w14:textId="77777777" w:rsidR="00B46382" w:rsidRPr="00B46382" w:rsidRDefault="00B46382" w:rsidP="00B46382">
      <w:pPr>
        <w:pStyle w:val="ListParagraph"/>
        <w:numPr>
          <w:ilvl w:val="0"/>
          <w:numId w:val="26"/>
        </w:numPr>
        <w:spacing w:after="160" w:line="259" w:lineRule="auto"/>
        <w:rPr>
          <w:rFonts w:cs="Arial"/>
        </w:rPr>
      </w:pPr>
      <w:r w:rsidRPr="00B46382">
        <w:rPr>
          <w:rFonts w:cs="Arial"/>
        </w:rPr>
        <w:t xml:space="preserve">An excellent culture in which to work and learn </w:t>
      </w:r>
    </w:p>
    <w:p w14:paraId="5AF18FCA" w14:textId="77777777" w:rsidR="00B46382" w:rsidRPr="00B46382" w:rsidRDefault="00B46382" w:rsidP="00B46382">
      <w:pPr>
        <w:pStyle w:val="ListParagraph"/>
        <w:numPr>
          <w:ilvl w:val="0"/>
          <w:numId w:val="26"/>
        </w:numPr>
        <w:spacing w:after="160" w:line="259" w:lineRule="auto"/>
        <w:rPr>
          <w:rFonts w:cs="Arial"/>
        </w:rPr>
      </w:pPr>
      <w:r w:rsidRPr="00B46382">
        <w:rPr>
          <w:rFonts w:cs="Arial"/>
        </w:rPr>
        <w:t>A dynamic interconnected digital learning experience</w:t>
      </w:r>
    </w:p>
    <w:p w14:paraId="00262DCD" w14:textId="0C16AC81" w:rsidR="00B46382" w:rsidRPr="004D5E82" w:rsidRDefault="004D5E82" w:rsidP="004D5E82">
      <w:pPr>
        <w:pStyle w:val="Heading3"/>
      </w:pPr>
      <w:r>
        <w:t xml:space="preserve">1.2 </w:t>
      </w:r>
      <w:r w:rsidR="00B46382" w:rsidRPr="004D5E82">
        <w:t xml:space="preserve">Performance </w:t>
      </w:r>
    </w:p>
    <w:p w14:paraId="53B7B6C9" w14:textId="77777777" w:rsidR="00B46382" w:rsidRPr="00B46382" w:rsidRDefault="00B46382" w:rsidP="00B46382">
      <w:pPr>
        <w:pStyle w:val="ListParagraph"/>
        <w:numPr>
          <w:ilvl w:val="0"/>
          <w:numId w:val="27"/>
        </w:numPr>
        <w:spacing w:after="160" w:line="259" w:lineRule="auto"/>
        <w:rPr>
          <w:rFonts w:cs="Arial"/>
        </w:rPr>
      </w:pPr>
      <w:r w:rsidRPr="00B46382">
        <w:rPr>
          <w:rFonts w:cs="Arial"/>
        </w:rPr>
        <w:t xml:space="preserve">A fantastic student learning experience with great outcomes </w:t>
      </w:r>
    </w:p>
    <w:p w14:paraId="49EC2865" w14:textId="77777777" w:rsidR="00B46382" w:rsidRPr="00B46382" w:rsidRDefault="00B46382" w:rsidP="00B46382">
      <w:pPr>
        <w:pStyle w:val="ListParagraph"/>
        <w:numPr>
          <w:ilvl w:val="0"/>
          <w:numId w:val="27"/>
        </w:numPr>
        <w:spacing w:after="160" w:line="259" w:lineRule="auto"/>
        <w:rPr>
          <w:rFonts w:cs="Arial"/>
        </w:rPr>
      </w:pPr>
      <w:r w:rsidRPr="00B46382">
        <w:rPr>
          <w:rFonts w:cs="Arial"/>
        </w:rPr>
        <w:t>Strong, sustainable financial performance</w:t>
      </w:r>
    </w:p>
    <w:p w14:paraId="03D677B9" w14:textId="0A81CC8C" w:rsidR="00B46382" w:rsidRPr="004D5E82" w:rsidRDefault="004D5E82" w:rsidP="004D5E82">
      <w:pPr>
        <w:pStyle w:val="Heading3"/>
      </w:pPr>
      <w:r>
        <w:lastRenderedPageBreak/>
        <w:t xml:space="preserve">1.3 </w:t>
      </w:r>
      <w:r w:rsidR="00B46382" w:rsidRPr="004D5E82">
        <w:t xml:space="preserve">Position </w:t>
      </w:r>
    </w:p>
    <w:p w14:paraId="55BB9D31" w14:textId="77777777" w:rsidR="00B46382" w:rsidRPr="00B46382" w:rsidRDefault="00B46382" w:rsidP="00B46382">
      <w:pPr>
        <w:pStyle w:val="ListParagraph"/>
        <w:numPr>
          <w:ilvl w:val="0"/>
          <w:numId w:val="28"/>
        </w:numPr>
        <w:spacing w:after="160" w:line="259" w:lineRule="auto"/>
        <w:rPr>
          <w:rFonts w:cs="Arial"/>
        </w:rPr>
      </w:pPr>
      <w:r w:rsidRPr="00B46382">
        <w:rPr>
          <w:rFonts w:cs="Arial"/>
        </w:rPr>
        <w:t>Recognised by employers and students as the provider of choice in Kirklees for higher technical skills</w:t>
      </w:r>
    </w:p>
    <w:p w14:paraId="198A485B" w14:textId="77777777" w:rsidR="00B46382" w:rsidRPr="00B46382" w:rsidRDefault="00B46382" w:rsidP="00B46382">
      <w:pPr>
        <w:pStyle w:val="ListParagraph"/>
        <w:numPr>
          <w:ilvl w:val="0"/>
          <w:numId w:val="28"/>
        </w:numPr>
        <w:spacing w:after="160" w:line="259" w:lineRule="auto"/>
        <w:rPr>
          <w:rFonts w:cs="Arial"/>
        </w:rPr>
      </w:pPr>
      <w:r w:rsidRPr="00B46382">
        <w:rPr>
          <w:rFonts w:cs="Arial"/>
        </w:rPr>
        <w:t>Every centre demonstrates strong civic responsibility</w:t>
      </w:r>
    </w:p>
    <w:p w14:paraId="19308840" w14:textId="16660E01" w:rsidR="0007034A" w:rsidRPr="004D5E82" w:rsidRDefault="00B46382" w:rsidP="00E7358A">
      <w:pPr>
        <w:pStyle w:val="ListParagraph"/>
        <w:numPr>
          <w:ilvl w:val="0"/>
          <w:numId w:val="28"/>
        </w:numPr>
        <w:spacing w:after="160" w:line="259" w:lineRule="auto"/>
        <w:rPr>
          <w:rFonts w:cs="Arial"/>
        </w:rPr>
      </w:pPr>
      <w:r w:rsidRPr="00B46382">
        <w:rPr>
          <w:rFonts w:cs="Arial"/>
        </w:rPr>
        <w:t>We play an influential role in combatting climate emergency</w:t>
      </w:r>
    </w:p>
    <w:p w14:paraId="741D86D1" w14:textId="77777777" w:rsidR="007C7C92" w:rsidRPr="00B46382" w:rsidRDefault="007C7C92" w:rsidP="00887E31">
      <w:pPr>
        <w:pStyle w:val="BodyText"/>
        <w:spacing w:line="276" w:lineRule="auto"/>
        <w:rPr>
          <w:sz w:val="24"/>
          <w:szCs w:val="24"/>
        </w:rPr>
      </w:pPr>
    </w:p>
    <w:p w14:paraId="2AA16A8F" w14:textId="3A1E533A" w:rsidR="00240440" w:rsidRPr="00B46382" w:rsidRDefault="00240440" w:rsidP="00BD68BB">
      <w:pPr>
        <w:rPr>
          <w:rFonts w:cs="Arial"/>
          <w:szCs w:val="24"/>
        </w:rPr>
      </w:pPr>
      <w:r w:rsidRPr="00B46382">
        <w:rPr>
          <w:rFonts w:cs="Arial"/>
          <w:szCs w:val="24"/>
        </w:rPr>
        <w:t xml:space="preserve">Our HE and Higher Skills </w:t>
      </w:r>
      <w:r w:rsidR="006F336F" w:rsidRPr="00B46382">
        <w:rPr>
          <w:rFonts w:cs="Arial"/>
          <w:szCs w:val="24"/>
        </w:rPr>
        <w:t xml:space="preserve">strategic aims </w:t>
      </w:r>
      <w:r w:rsidR="009F7420" w:rsidRPr="00B46382">
        <w:rPr>
          <w:rFonts w:cs="Arial"/>
          <w:szCs w:val="24"/>
        </w:rPr>
        <w:t xml:space="preserve">(2022-25) </w:t>
      </w:r>
      <w:r w:rsidRPr="00B46382">
        <w:rPr>
          <w:rFonts w:cs="Arial"/>
          <w:szCs w:val="24"/>
        </w:rPr>
        <w:t xml:space="preserve">that link directly </w:t>
      </w:r>
      <w:r w:rsidR="009F7420" w:rsidRPr="00B46382">
        <w:rPr>
          <w:rFonts w:cs="Arial"/>
          <w:szCs w:val="24"/>
        </w:rPr>
        <w:t>to equality of opportunity</w:t>
      </w:r>
      <w:r w:rsidR="00F739A5" w:rsidRPr="00B46382">
        <w:rPr>
          <w:rFonts w:cs="Arial"/>
          <w:szCs w:val="24"/>
        </w:rPr>
        <w:t xml:space="preserve"> </w:t>
      </w:r>
      <w:r w:rsidR="00C7127C" w:rsidRPr="00B46382">
        <w:rPr>
          <w:rFonts w:cs="Arial"/>
          <w:szCs w:val="24"/>
        </w:rPr>
        <w:t xml:space="preserve">and our APP Theories of Change </w:t>
      </w:r>
      <w:r w:rsidR="00F739A5" w:rsidRPr="00B46382">
        <w:rPr>
          <w:rFonts w:cs="Arial"/>
          <w:szCs w:val="24"/>
        </w:rPr>
        <w:t>are presented below:</w:t>
      </w:r>
      <w:r w:rsidR="009F7420" w:rsidRPr="00B46382">
        <w:rPr>
          <w:rFonts w:cs="Arial"/>
          <w:szCs w:val="24"/>
        </w:rPr>
        <w:t xml:space="preserve"> </w:t>
      </w:r>
    </w:p>
    <w:p w14:paraId="5C6BE863" w14:textId="64618D5C" w:rsidR="00E3424D" w:rsidRPr="00B46382" w:rsidRDefault="00FA5DDC" w:rsidP="00E3424D">
      <w:pPr>
        <w:pStyle w:val="ListParagraph"/>
        <w:numPr>
          <w:ilvl w:val="0"/>
          <w:numId w:val="6"/>
        </w:numPr>
        <w:spacing w:line="276" w:lineRule="auto"/>
        <w:jc w:val="both"/>
        <w:rPr>
          <w:rFonts w:cs="Arial"/>
          <w:lang w:val="en-US"/>
        </w:rPr>
      </w:pPr>
      <w:r w:rsidRPr="00B46382">
        <w:rPr>
          <w:rFonts w:cs="Arial"/>
          <w:lang w:val="en-US"/>
        </w:rPr>
        <w:t xml:space="preserve">Plan a HE and Higher skills curriculum that meets local, regional and national skill needs, offering accessible HE </w:t>
      </w:r>
      <w:proofErr w:type="gramStart"/>
      <w:r w:rsidRPr="00B46382">
        <w:rPr>
          <w:rFonts w:cs="Arial"/>
          <w:lang w:val="en-US"/>
        </w:rPr>
        <w:t>provision</w:t>
      </w:r>
      <w:proofErr w:type="gramEnd"/>
      <w:r w:rsidRPr="00B46382">
        <w:rPr>
          <w:rFonts w:cs="Arial"/>
          <w:lang w:val="en-US"/>
        </w:rPr>
        <w:t xml:space="preserve"> for the Kirklees </w:t>
      </w:r>
      <w:r w:rsidR="002A7882" w:rsidRPr="00B46382">
        <w:rPr>
          <w:rFonts w:cs="Arial"/>
          <w:lang w:val="en-US"/>
        </w:rPr>
        <w:t>c</w:t>
      </w:r>
      <w:r w:rsidRPr="00B46382">
        <w:rPr>
          <w:rFonts w:cs="Arial"/>
          <w:lang w:val="en-US"/>
        </w:rPr>
        <w:t>ommunity and wider environs.</w:t>
      </w:r>
    </w:p>
    <w:p w14:paraId="09C1D5BD" w14:textId="77777777" w:rsidR="009D06AD" w:rsidRPr="00B46382" w:rsidRDefault="00FA5DDC" w:rsidP="009D06AD">
      <w:pPr>
        <w:pStyle w:val="ListParagraph"/>
        <w:numPr>
          <w:ilvl w:val="0"/>
          <w:numId w:val="6"/>
        </w:numPr>
        <w:spacing w:line="276" w:lineRule="auto"/>
        <w:jc w:val="both"/>
        <w:rPr>
          <w:rFonts w:cs="Arial"/>
          <w:lang w:val="en-US"/>
        </w:rPr>
      </w:pPr>
      <w:r w:rsidRPr="00B46382">
        <w:rPr>
          <w:rFonts w:cs="Arial"/>
          <w:lang w:val="en-US"/>
        </w:rPr>
        <w:t xml:space="preserve">Provide equal opportunities for every student to discuss, evaluate and contribute to the improvement of their particular HE </w:t>
      </w:r>
      <w:proofErr w:type="spellStart"/>
      <w:r w:rsidRPr="00B46382">
        <w:rPr>
          <w:rFonts w:cs="Arial"/>
          <w:lang w:val="en-US"/>
        </w:rPr>
        <w:t>programme</w:t>
      </w:r>
      <w:proofErr w:type="spellEnd"/>
      <w:r w:rsidRPr="00B46382">
        <w:rPr>
          <w:rFonts w:cs="Arial"/>
          <w:lang w:val="en-US"/>
        </w:rPr>
        <w:t>.</w:t>
      </w:r>
    </w:p>
    <w:p w14:paraId="4080A094" w14:textId="77777777" w:rsidR="009D06AD" w:rsidRPr="00B46382" w:rsidRDefault="00FA5DDC" w:rsidP="009D06AD">
      <w:pPr>
        <w:pStyle w:val="ListParagraph"/>
        <w:numPr>
          <w:ilvl w:val="0"/>
          <w:numId w:val="6"/>
        </w:numPr>
        <w:spacing w:line="276" w:lineRule="auto"/>
        <w:jc w:val="both"/>
        <w:rPr>
          <w:rFonts w:cs="Arial"/>
          <w:lang w:val="en-US"/>
        </w:rPr>
      </w:pPr>
      <w:r w:rsidRPr="00B46382">
        <w:rPr>
          <w:rFonts w:cs="Arial"/>
          <w:lang w:val="en-US"/>
        </w:rPr>
        <w:t>Provide progression opportunities for HE studies from existing study programmes at level 1-3.</w:t>
      </w:r>
    </w:p>
    <w:p w14:paraId="60D6D888" w14:textId="77777777" w:rsidR="009D06AD" w:rsidRPr="00B46382" w:rsidRDefault="00FA5DDC" w:rsidP="009D06AD">
      <w:pPr>
        <w:pStyle w:val="ListParagraph"/>
        <w:numPr>
          <w:ilvl w:val="0"/>
          <w:numId w:val="6"/>
        </w:numPr>
        <w:spacing w:line="276" w:lineRule="auto"/>
        <w:jc w:val="both"/>
        <w:rPr>
          <w:rFonts w:cs="Arial"/>
          <w:lang w:val="en-US"/>
        </w:rPr>
      </w:pPr>
      <w:r w:rsidRPr="00B46382">
        <w:rPr>
          <w:rFonts w:cs="Arial"/>
          <w:lang w:val="en-US"/>
        </w:rPr>
        <w:t xml:space="preserve">Increase HE &amp; professional studies internal progression and external applications. </w:t>
      </w:r>
    </w:p>
    <w:p w14:paraId="40DA0EAC" w14:textId="137BB0F9" w:rsidR="0019648B" w:rsidRPr="00B46382" w:rsidRDefault="00FA5DDC" w:rsidP="009D06AD">
      <w:pPr>
        <w:pStyle w:val="ListParagraph"/>
        <w:numPr>
          <w:ilvl w:val="0"/>
          <w:numId w:val="6"/>
        </w:numPr>
        <w:spacing w:line="276" w:lineRule="auto"/>
        <w:jc w:val="both"/>
        <w:rPr>
          <w:rFonts w:cs="Arial"/>
          <w:lang w:val="en-US"/>
        </w:rPr>
      </w:pPr>
      <w:r w:rsidRPr="00B46382">
        <w:rPr>
          <w:rFonts w:cs="Arial"/>
          <w:lang w:val="en-US"/>
        </w:rPr>
        <w:t>Support Teachers to engage in C</w:t>
      </w:r>
      <w:r w:rsidR="006F3AC0" w:rsidRPr="00B46382">
        <w:rPr>
          <w:rFonts w:cs="Arial"/>
          <w:lang w:val="en-US"/>
        </w:rPr>
        <w:t xml:space="preserve">ontinued </w:t>
      </w:r>
      <w:r w:rsidRPr="00B46382">
        <w:rPr>
          <w:rFonts w:cs="Arial"/>
          <w:lang w:val="en-US"/>
        </w:rPr>
        <w:t>P</w:t>
      </w:r>
      <w:r w:rsidR="006F3AC0" w:rsidRPr="00B46382">
        <w:rPr>
          <w:rFonts w:cs="Arial"/>
          <w:lang w:val="en-US"/>
        </w:rPr>
        <w:t xml:space="preserve">rofessional </w:t>
      </w:r>
      <w:r w:rsidRPr="00B46382">
        <w:rPr>
          <w:rFonts w:cs="Arial"/>
          <w:lang w:val="en-US"/>
        </w:rPr>
        <w:t>D</w:t>
      </w:r>
      <w:r w:rsidR="006F3AC0" w:rsidRPr="00B46382">
        <w:rPr>
          <w:rFonts w:cs="Arial"/>
          <w:lang w:val="en-US"/>
        </w:rPr>
        <w:t>evelopment (CPD)</w:t>
      </w:r>
      <w:r w:rsidRPr="00B46382">
        <w:rPr>
          <w:rFonts w:cs="Arial"/>
          <w:lang w:val="en-US"/>
        </w:rPr>
        <w:t xml:space="preserve"> within their subject disciplines and enhance their pedagogy further through HE </w:t>
      </w:r>
      <w:proofErr w:type="gramStart"/>
      <w:r w:rsidRPr="00B46382">
        <w:rPr>
          <w:rFonts w:cs="Arial"/>
          <w:lang w:val="en-US"/>
        </w:rPr>
        <w:t>staff</w:t>
      </w:r>
      <w:proofErr w:type="gramEnd"/>
      <w:r w:rsidRPr="00B46382">
        <w:rPr>
          <w:rFonts w:cs="Arial"/>
          <w:lang w:val="en-US"/>
        </w:rPr>
        <w:t xml:space="preserve"> development.</w:t>
      </w:r>
    </w:p>
    <w:p w14:paraId="251FDD33" w14:textId="77777777" w:rsidR="00911A77" w:rsidRPr="00B46382" w:rsidRDefault="00911A77" w:rsidP="005D5FCF">
      <w:pPr>
        <w:spacing w:after="120"/>
        <w:rPr>
          <w:rFonts w:cs="Arial"/>
          <w:szCs w:val="24"/>
        </w:rPr>
      </w:pPr>
    </w:p>
    <w:p w14:paraId="236F5824" w14:textId="77777777" w:rsidR="003A2332" w:rsidRPr="00B46382" w:rsidRDefault="003A2332" w:rsidP="003A2332">
      <w:pPr>
        <w:rPr>
          <w:rFonts w:cs="Arial"/>
          <w:szCs w:val="24"/>
        </w:rPr>
      </w:pPr>
      <w:r w:rsidRPr="00B46382">
        <w:rPr>
          <w:rFonts w:cs="Arial"/>
          <w:szCs w:val="24"/>
        </w:rPr>
        <w:t>We offer a range of provision from Entry Level to Higher Education. We offer academic, applied, technical, vocational and professional programmes that enable our students to meet and exceed their aspirations, ensuring that each individual reaches their fullest potential.</w:t>
      </w:r>
    </w:p>
    <w:p w14:paraId="1B1F8649" w14:textId="4B66B28B" w:rsidR="003A2332" w:rsidRPr="00B46382" w:rsidRDefault="003A2332" w:rsidP="003A2332">
      <w:pPr>
        <w:rPr>
          <w:rFonts w:cs="Arial"/>
          <w:szCs w:val="24"/>
        </w:rPr>
      </w:pPr>
      <w:r w:rsidRPr="00B46382">
        <w:rPr>
          <w:rFonts w:cs="Arial"/>
          <w:szCs w:val="24"/>
        </w:rPr>
        <w:t xml:space="preserve">With over 10,000 students on full-time and part-time courses, and apprenticeships, we provide seven bespoke centres across the Kirklees region, from two main centres based in Dewsbury and Huddersfield, and dedicated learning centres for Animal Care, Construction, Engineering, Process Manufacturing and the Pioneer Higher Skills Centre which is dedicated to Higher Education (HE) and Higher Skills. </w:t>
      </w:r>
    </w:p>
    <w:p w14:paraId="3E9E7B3A" w14:textId="5F96DFA9" w:rsidR="00D12E3D" w:rsidRPr="00B46382" w:rsidRDefault="00D12E3D" w:rsidP="00D12E3D">
      <w:pPr>
        <w:spacing w:after="120"/>
        <w:rPr>
          <w:rFonts w:cs="Arial"/>
          <w:szCs w:val="24"/>
        </w:rPr>
      </w:pPr>
      <w:r w:rsidRPr="00B46382">
        <w:rPr>
          <w:rFonts w:cs="Arial"/>
          <w:szCs w:val="24"/>
        </w:rPr>
        <w:t xml:space="preserve">The College offers HE courses with achievable entry requirements in order to encourage applications from those with lower grades, mature applicants with relevant experience or applicants from non-standard entry routes. </w:t>
      </w:r>
    </w:p>
    <w:p w14:paraId="4D04DA15" w14:textId="20571F30" w:rsidR="00B717D5" w:rsidRPr="00B46382" w:rsidRDefault="00C45A55" w:rsidP="00434C56">
      <w:pPr>
        <w:rPr>
          <w:rFonts w:cs="Arial"/>
          <w:szCs w:val="24"/>
        </w:rPr>
      </w:pPr>
      <w:r w:rsidRPr="00B46382">
        <w:rPr>
          <w:rFonts w:cs="Arial"/>
          <w:szCs w:val="24"/>
        </w:rPr>
        <w:t xml:space="preserve">Our present HE </w:t>
      </w:r>
      <w:proofErr w:type="gramStart"/>
      <w:r w:rsidRPr="00B46382">
        <w:rPr>
          <w:rFonts w:cs="Arial"/>
          <w:szCs w:val="24"/>
        </w:rPr>
        <w:t>o</w:t>
      </w:r>
      <w:r w:rsidR="002E43DB" w:rsidRPr="00B46382">
        <w:rPr>
          <w:rFonts w:cs="Arial"/>
          <w:szCs w:val="24"/>
        </w:rPr>
        <w:t>ffer</w:t>
      </w:r>
      <w:proofErr w:type="gramEnd"/>
      <w:r w:rsidR="002E43DB" w:rsidRPr="00B46382">
        <w:rPr>
          <w:rFonts w:cs="Arial"/>
          <w:szCs w:val="24"/>
        </w:rPr>
        <w:t xml:space="preserve"> is modest</w:t>
      </w:r>
      <w:r w:rsidR="00713E72" w:rsidRPr="00B46382">
        <w:rPr>
          <w:rFonts w:cs="Arial"/>
          <w:szCs w:val="24"/>
        </w:rPr>
        <w:t xml:space="preserve"> </w:t>
      </w:r>
      <w:r w:rsidR="00807512" w:rsidRPr="00B46382">
        <w:rPr>
          <w:rFonts w:cs="Arial"/>
          <w:szCs w:val="24"/>
        </w:rPr>
        <w:t xml:space="preserve">with just 1% of the student body </w:t>
      </w:r>
      <w:r w:rsidR="00DA62C8" w:rsidRPr="00B46382">
        <w:rPr>
          <w:rFonts w:cs="Arial"/>
          <w:szCs w:val="24"/>
        </w:rPr>
        <w:t>enrolled on HE programmes</w:t>
      </w:r>
      <w:r w:rsidR="002D50A3" w:rsidRPr="00B46382">
        <w:rPr>
          <w:rFonts w:cs="Arial"/>
          <w:szCs w:val="24"/>
        </w:rPr>
        <w:t xml:space="preserve"> including</w:t>
      </w:r>
      <w:r w:rsidR="00713E72" w:rsidRPr="00B46382">
        <w:rPr>
          <w:rFonts w:cs="Arial"/>
          <w:szCs w:val="24"/>
        </w:rPr>
        <w:t xml:space="preserve"> Computing, Animal Management, Engineering</w:t>
      </w:r>
      <w:r w:rsidR="00E456B6" w:rsidRPr="00B46382">
        <w:rPr>
          <w:rFonts w:cs="Arial"/>
          <w:szCs w:val="24"/>
        </w:rPr>
        <w:t xml:space="preserve"> and Process Manufacturing</w:t>
      </w:r>
      <w:r w:rsidR="00713E72" w:rsidRPr="00B46382">
        <w:rPr>
          <w:rFonts w:cs="Arial"/>
          <w:szCs w:val="24"/>
        </w:rPr>
        <w:t>,</w:t>
      </w:r>
      <w:r w:rsidR="00E456B6" w:rsidRPr="00B46382">
        <w:rPr>
          <w:rFonts w:cs="Arial"/>
          <w:szCs w:val="24"/>
        </w:rPr>
        <w:t xml:space="preserve"> </w:t>
      </w:r>
      <w:r w:rsidR="002D50A3" w:rsidRPr="00B46382">
        <w:rPr>
          <w:rFonts w:cs="Arial"/>
          <w:szCs w:val="24"/>
        </w:rPr>
        <w:t xml:space="preserve">and </w:t>
      </w:r>
      <w:r w:rsidR="00E456B6" w:rsidRPr="00B46382">
        <w:rPr>
          <w:rFonts w:cs="Arial"/>
          <w:szCs w:val="24"/>
        </w:rPr>
        <w:t>Teacher Education</w:t>
      </w:r>
      <w:r w:rsidR="0000642C" w:rsidRPr="00B46382">
        <w:rPr>
          <w:rFonts w:cs="Arial"/>
          <w:szCs w:val="24"/>
        </w:rPr>
        <w:t xml:space="preserve">. We offer a range of </w:t>
      </w:r>
      <w:r w:rsidR="00B80A2D" w:rsidRPr="00B46382">
        <w:rPr>
          <w:rFonts w:cs="Arial"/>
          <w:szCs w:val="24"/>
        </w:rPr>
        <w:t xml:space="preserve">level 4-7 </w:t>
      </w:r>
      <w:r w:rsidR="0000642C" w:rsidRPr="00B46382">
        <w:rPr>
          <w:rFonts w:cs="Arial"/>
          <w:szCs w:val="24"/>
        </w:rPr>
        <w:t>programmes</w:t>
      </w:r>
      <w:r w:rsidR="003E07DE" w:rsidRPr="00B46382">
        <w:rPr>
          <w:rFonts w:cs="Arial"/>
          <w:szCs w:val="24"/>
        </w:rPr>
        <w:t>, both full-time and part-time</w:t>
      </w:r>
      <w:r w:rsidR="0000642C" w:rsidRPr="00B46382">
        <w:rPr>
          <w:rFonts w:cs="Arial"/>
          <w:szCs w:val="24"/>
        </w:rPr>
        <w:t xml:space="preserve"> including Higher National Certificates</w:t>
      </w:r>
      <w:r w:rsidR="006258DF" w:rsidRPr="00B46382">
        <w:rPr>
          <w:rFonts w:cs="Arial"/>
          <w:szCs w:val="24"/>
        </w:rPr>
        <w:t xml:space="preserve"> (HNC</w:t>
      </w:r>
      <w:r w:rsidR="00136B7D" w:rsidRPr="00B46382">
        <w:rPr>
          <w:rFonts w:cs="Arial"/>
          <w:szCs w:val="24"/>
        </w:rPr>
        <w:t>s)</w:t>
      </w:r>
      <w:r w:rsidR="0000642C" w:rsidRPr="00B46382">
        <w:rPr>
          <w:rFonts w:cs="Arial"/>
          <w:szCs w:val="24"/>
        </w:rPr>
        <w:t xml:space="preserve"> and Diplomas</w:t>
      </w:r>
      <w:r w:rsidR="00136B7D" w:rsidRPr="00B46382">
        <w:rPr>
          <w:rFonts w:cs="Arial"/>
          <w:szCs w:val="24"/>
        </w:rPr>
        <w:t xml:space="preserve"> (HNDs)</w:t>
      </w:r>
      <w:r w:rsidR="0000642C" w:rsidRPr="00B46382">
        <w:rPr>
          <w:rFonts w:cs="Arial"/>
          <w:szCs w:val="24"/>
        </w:rPr>
        <w:t xml:space="preserve">, </w:t>
      </w:r>
      <w:r w:rsidR="00955A1E" w:rsidRPr="00B46382">
        <w:rPr>
          <w:rFonts w:cs="Arial"/>
          <w:szCs w:val="24"/>
        </w:rPr>
        <w:t>i</w:t>
      </w:r>
      <w:r w:rsidR="0000642C" w:rsidRPr="00B46382">
        <w:rPr>
          <w:rFonts w:cs="Arial"/>
          <w:szCs w:val="24"/>
        </w:rPr>
        <w:t>ncluding the new Higher</w:t>
      </w:r>
      <w:r w:rsidR="00EA4583" w:rsidRPr="00B46382">
        <w:rPr>
          <w:rFonts w:cs="Arial"/>
          <w:szCs w:val="24"/>
        </w:rPr>
        <w:t xml:space="preserve"> Technical Qualifications (HTQs)</w:t>
      </w:r>
      <w:r w:rsidR="00695610" w:rsidRPr="00B46382">
        <w:rPr>
          <w:rFonts w:cs="Arial"/>
          <w:szCs w:val="24"/>
        </w:rPr>
        <w:t>, Higher Apprenticeships an</w:t>
      </w:r>
      <w:r w:rsidR="00EA4583" w:rsidRPr="00B46382">
        <w:rPr>
          <w:rFonts w:cs="Arial"/>
          <w:szCs w:val="24"/>
        </w:rPr>
        <w:t>d Foundation Degrees</w:t>
      </w:r>
      <w:r w:rsidR="00D01437" w:rsidRPr="00B46382">
        <w:rPr>
          <w:rFonts w:cs="Arial"/>
          <w:szCs w:val="24"/>
        </w:rPr>
        <w:t xml:space="preserve"> (in partnership with the University of Central Lancashire)</w:t>
      </w:r>
      <w:r w:rsidR="0004782B" w:rsidRPr="00B46382">
        <w:rPr>
          <w:rFonts w:cs="Arial"/>
          <w:szCs w:val="24"/>
        </w:rPr>
        <w:t xml:space="preserve">. </w:t>
      </w:r>
    </w:p>
    <w:p w14:paraId="2260983F" w14:textId="0B8365DF" w:rsidR="002A40E3" w:rsidRPr="00B46382" w:rsidRDefault="002A40E3" w:rsidP="002A40E3">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lastRenderedPageBreak/>
        <w:t>Our Higher Education and Higher Skills strategy, aligned with government reforms, is committed to expanding our HTQ programmes. This will enable a more employer-responsive, flexible, and modular qualification model, allowing both mature and young learners to upskill and retrain to meet local and national priority targets. HTQs will address national, regional, and local skills priorities, recognizing emerging growth areas and supporting the Local Skills Improvement Plan (LSIP) for West Yorkshire.</w:t>
      </w:r>
    </w:p>
    <w:p w14:paraId="69B0F3EA" w14:textId="6F66E62F" w:rsidR="002A40E3" w:rsidRPr="00B46382" w:rsidRDefault="002A40E3" w:rsidP="002A40E3">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t>With the introduction of the Lifelong Learning Entitlement (LLE) in January 2026, HTQs will become a more accessible and attractive Higher Education offer. In September 2025, we launched our first approved HTQ in Engineering, funded by Skills Injection Fund (SIF) monies, with plans to develop HTQs in Construction, Animal Management, Digital Technologies, Leadership and Management, Hospitality, and additional Higher Apprenticeships over the next four years (see Annex D).</w:t>
      </w:r>
    </w:p>
    <w:p w14:paraId="4A0377A6" w14:textId="7F05A873" w:rsidR="00C10C28" w:rsidRPr="004D5E82" w:rsidRDefault="002A40E3" w:rsidP="004D5E82">
      <w:pPr>
        <w:rPr>
          <w:rFonts w:cs="Arial"/>
          <w:szCs w:val="24"/>
        </w:rPr>
      </w:pPr>
      <w:r w:rsidRPr="00B46382">
        <w:rPr>
          <w:rFonts w:cs="Arial"/>
          <w:szCs w:val="24"/>
        </w:rPr>
        <w:t>In line with the Higher Education and Research Act (2017) section 32, our Access and Participation Plan (APP) demonstrates how KC will ensure all student groups have equal support to access HE, succeed on their chosen programmes and continue to further study and/or secure good employment from this. It is our aim to improve the equality of opportunity for underrepresented groups (URGs) in our HE provisions. This plan identifies several risks to equality of opportunity for our students accompanied by a detailed overview of our planned intervention strategies created to address those risks.</w:t>
      </w:r>
    </w:p>
    <w:p w14:paraId="0960A5D8" w14:textId="64FCBEC0" w:rsidR="00BD5D15" w:rsidRPr="004D5E82" w:rsidRDefault="004D5E82" w:rsidP="004D5E82">
      <w:pPr>
        <w:pStyle w:val="Heading2"/>
      </w:pPr>
      <w:r>
        <w:t xml:space="preserve">2. </w:t>
      </w:r>
      <w:r w:rsidR="00A90AE8" w:rsidRPr="004D5E82">
        <w:t xml:space="preserve">Risks to Equality of Opportunity </w:t>
      </w:r>
    </w:p>
    <w:p w14:paraId="6ABA6F87" w14:textId="2DA8BD72" w:rsidR="00F97865" w:rsidRPr="00B46382" w:rsidRDefault="00BD5D15" w:rsidP="00CB7740">
      <w:pPr>
        <w:rPr>
          <w:rFonts w:cs="Arial"/>
          <w:szCs w:val="24"/>
        </w:rPr>
      </w:pPr>
      <w:r w:rsidRPr="00B46382">
        <w:rPr>
          <w:rFonts w:cs="Arial"/>
          <w:szCs w:val="24"/>
        </w:rPr>
        <w:t xml:space="preserve">In this section, we </w:t>
      </w:r>
      <w:r w:rsidR="007D678C" w:rsidRPr="00B46382">
        <w:rPr>
          <w:rFonts w:cs="Arial"/>
          <w:szCs w:val="24"/>
        </w:rPr>
        <w:t>summarise the key risks to equality of opportunity that ha</w:t>
      </w:r>
      <w:r w:rsidR="004A128A" w:rsidRPr="00B46382">
        <w:rPr>
          <w:rFonts w:cs="Arial"/>
          <w:szCs w:val="24"/>
        </w:rPr>
        <w:t>ve</w:t>
      </w:r>
      <w:r w:rsidR="007D678C" w:rsidRPr="00B46382">
        <w:rPr>
          <w:rFonts w:cs="Arial"/>
          <w:szCs w:val="24"/>
        </w:rPr>
        <w:t xml:space="preserve"> been identified through our </w:t>
      </w:r>
      <w:r w:rsidR="00777032" w:rsidRPr="00B46382">
        <w:rPr>
          <w:rFonts w:cs="Arial"/>
          <w:szCs w:val="24"/>
        </w:rPr>
        <w:t xml:space="preserve">assessment of our own performance (Annex A: Assessment of Performance) and consideration of the </w:t>
      </w:r>
      <w:r w:rsidR="005E5A05" w:rsidRPr="00B46382">
        <w:rPr>
          <w:rFonts w:cs="Arial"/>
          <w:szCs w:val="24"/>
        </w:rPr>
        <w:t>Equality of Opportunity Risk Register (EORR)</w:t>
      </w:r>
      <w:r w:rsidR="00F97865" w:rsidRPr="00B46382">
        <w:rPr>
          <w:rFonts w:cs="Arial"/>
          <w:szCs w:val="24"/>
        </w:rPr>
        <w:t xml:space="preserve">. </w:t>
      </w:r>
      <w:r w:rsidR="004A128A" w:rsidRPr="00B46382">
        <w:rPr>
          <w:rFonts w:cs="Arial"/>
          <w:szCs w:val="24"/>
        </w:rPr>
        <w:t xml:space="preserve">This register identifies 12 overarching risks within the sector that could potentially act as a barrier for certain student demographics in accessing, succeeding in and progressing from HE. </w:t>
      </w:r>
    </w:p>
    <w:p w14:paraId="652B65C1" w14:textId="66619642" w:rsidR="00733997" w:rsidRPr="00B46382" w:rsidRDefault="00733997" w:rsidP="00CB7740">
      <w:pPr>
        <w:rPr>
          <w:rFonts w:cs="Arial"/>
          <w:szCs w:val="24"/>
        </w:rPr>
      </w:pPr>
      <w:r w:rsidRPr="00B46382">
        <w:rPr>
          <w:rFonts w:cs="Arial"/>
          <w:szCs w:val="24"/>
        </w:rPr>
        <w:t>Our small HE student numbers have suppressed the Office for Students (</w:t>
      </w:r>
      <w:proofErr w:type="spellStart"/>
      <w:r w:rsidRPr="00B46382">
        <w:rPr>
          <w:rFonts w:cs="Arial"/>
          <w:szCs w:val="24"/>
        </w:rPr>
        <w:t>OfS</w:t>
      </w:r>
      <w:proofErr w:type="spellEnd"/>
      <w:r w:rsidRPr="00B46382">
        <w:rPr>
          <w:rFonts w:cs="Arial"/>
          <w:szCs w:val="24"/>
        </w:rPr>
        <w:t>) dashboard data</w:t>
      </w:r>
      <w:r w:rsidR="0051591F" w:rsidRPr="00B46382">
        <w:rPr>
          <w:rFonts w:cs="Arial"/>
          <w:szCs w:val="24"/>
        </w:rPr>
        <w:t>,</w:t>
      </w:r>
      <w:r w:rsidRPr="00B46382">
        <w:rPr>
          <w:rFonts w:cs="Arial"/>
          <w:szCs w:val="24"/>
        </w:rPr>
        <w:t xml:space="preserve"> </w:t>
      </w:r>
      <w:r w:rsidR="0051591F" w:rsidRPr="00B46382">
        <w:rPr>
          <w:rFonts w:cs="Arial"/>
          <w:szCs w:val="24"/>
        </w:rPr>
        <w:t>t</w:t>
      </w:r>
      <w:r w:rsidRPr="00B46382">
        <w:rPr>
          <w:rFonts w:cs="Arial"/>
          <w:szCs w:val="24"/>
        </w:rPr>
        <w:t xml:space="preserve">herefore intersectional, </w:t>
      </w:r>
      <w:r w:rsidRPr="00B46382">
        <w:rPr>
          <w:rFonts w:cs="Arial"/>
          <w:color w:val="000000" w:themeColor="text1"/>
          <w:szCs w:val="24"/>
        </w:rPr>
        <w:t>disaggregated and granular analysis has been limited. We have subsequently used internal data and</w:t>
      </w:r>
      <w:r w:rsidR="0073196C" w:rsidRPr="00B46382">
        <w:rPr>
          <w:rFonts w:cs="Arial"/>
          <w:color w:val="000000" w:themeColor="text1"/>
          <w:szCs w:val="24"/>
        </w:rPr>
        <w:t xml:space="preserve"> </w:t>
      </w:r>
      <w:r w:rsidR="00544754" w:rsidRPr="00B46382">
        <w:rPr>
          <w:rFonts w:cs="Arial"/>
          <w:color w:val="000000" w:themeColor="text1"/>
          <w:szCs w:val="24"/>
        </w:rPr>
        <w:t xml:space="preserve">Index </w:t>
      </w:r>
      <w:r w:rsidR="00CC5BDB" w:rsidRPr="00B46382">
        <w:rPr>
          <w:rFonts w:cs="Arial"/>
          <w:color w:val="000000" w:themeColor="text1"/>
          <w:szCs w:val="24"/>
        </w:rPr>
        <w:t xml:space="preserve">of </w:t>
      </w:r>
      <w:proofErr w:type="spellStart"/>
      <w:r w:rsidR="00CC5BDB" w:rsidRPr="00B46382">
        <w:rPr>
          <w:rFonts w:cs="Arial"/>
          <w:color w:val="000000" w:themeColor="text1"/>
          <w:szCs w:val="24"/>
        </w:rPr>
        <w:t>Mutiple</w:t>
      </w:r>
      <w:proofErr w:type="spellEnd"/>
      <w:r w:rsidR="00544754" w:rsidRPr="00B46382">
        <w:rPr>
          <w:rFonts w:cs="Arial"/>
          <w:color w:val="000000" w:themeColor="text1"/>
          <w:szCs w:val="24"/>
        </w:rPr>
        <w:t xml:space="preserve"> </w:t>
      </w:r>
      <w:r w:rsidR="007673C7" w:rsidRPr="00B46382">
        <w:rPr>
          <w:rFonts w:cs="Arial"/>
          <w:color w:val="000000" w:themeColor="text1"/>
          <w:szCs w:val="24"/>
        </w:rPr>
        <w:t xml:space="preserve">Deprivation (IMD) </w:t>
      </w:r>
      <w:r w:rsidRPr="00B46382">
        <w:rPr>
          <w:rFonts w:cs="Arial"/>
          <w:color w:val="000000" w:themeColor="text1"/>
          <w:szCs w:val="24"/>
        </w:rPr>
        <w:t xml:space="preserve">data to </w:t>
      </w:r>
      <w:r w:rsidRPr="00B46382">
        <w:rPr>
          <w:rFonts w:cs="Arial"/>
          <w:szCs w:val="24"/>
        </w:rPr>
        <w:t xml:space="preserve">assess performance, considering </w:t>
      </w:r>
      <w:r w:rsidR="00666103" w:rsidRPr="00B46382">
        <w:rPr>
          <w:rFonts w:cs="Arial"/>
          <w:szCs w:val="24"/>
        </w:rPr>
        <w:t>the different</w:t>
      </w:r>
      <w:r w:rsidRPr="00B46382">
        <w:rPr>
          <w:rFonts w:cs="Arial"/>
          <w:szCs w:val="24"/>
        </w:rPr>
        <w:t xml:space="preserve"> stages of the student lifecycle</w:t>
      </w:r>
      <w:r w:rsidR="00EF1A0B" w:rsidRPr="00B46382">
        <w:rPr>
          <w:rFonts w:cs="Arial"/>
          <w:szCs w:val="24"/>
        </w:rPr>
        <w:t xml:space="preserve"> (</w:t>
      </w:r>
      <w:r w:rsidR="001A4A2D" w:rsidRPr="00B46382">
        <w:rPr>
          <w:rFonts w:cs="Arial"/>
          <w:szCs w:val="24"/>
        </w:rPr>
        <w:t xml:space="preserve">See </w:t>
      </w:r>
      <w:r w:rsidR="00EF1A0B" w:rsidRPr="00B46382">
        <w:rPr>
          <w:rFonts w:cs="Arial"/>
          <w:szCs w:val="24"/>
        </w:rPr>
        <w:t>Annex A</w:t>
      </w:r>
      <w:r w:rsidR="001A4A2D" w:rsidRPr="00B46382">
        <w:rPr>
          <w:rFonts w:cs="Arial"/>
          <w:szCs w:val="24"/>
        </w:rPr>
        <w:t xml:space="preserve">: </w:t>
      </w:r>
      <w:r w:rsidR="00EF1A0B" w:rsidRPr="00B46382">
        <w:rPr>
          <w:rFonts w:cs="Arial"/>
          <w:szCs w:val="24"/>
        </w:rPr>
        <w:t>Assessment of Performance).</w:t>
      </w:r>
    </w:p>
    <w:p w14:paraId="295AC45A" w14:textId="32BBED1A" w:rsidR="00EF1A0B" w:rsidRPr="00B46382" w:rsidRDefault="00E05ED7" w:rsidP="0004657B">
      <w:pPr>
        <w:rPr>
          <w:rFonts w:cs="Arial"/>
          <w:szCs w:val="24"/>
        </w:rPr>
      </w:pPr>
      <w:r w:rsidRPr="00B46382">
        <w:rPr>
          <w:rFonts w:cs="Arial"/>
          <w:szCs w:val="24"/>
        </w:rPr>
        <w:t>From our Assessment of Performance, w</w:t>
      </w:r>
      <w:r w:rsidR="00BF5C7D" w:rsidRPr="00B46382">
        <w:rPr>
          <w:rFonts w:cs="Arial"/>
          <w:szCs w:val="24"/>
        </w:rPr>
        <w:t xml:space="preserve">e have </w:t>
      </w:r>
      <w:r w:rsidR="005C04A1" w:rsidRPr="00B46382">
        <w:rPr>
          <w:rFonts w:cs="Arial"/>
          <w:szCs w:val="24"/>
        </w:rPr>
        <w:t>highlighted</w:t>
      </w:r>
      <w:r w:rsidR="00BF5C7D" w:rsidRPr="00B46382">
        <w:rPr>
          <w:rFonts w:cs="Arial"/>
          <w:szCs w:val="24"/>
        </w:rPr>
        <w:t xml:space="preserve"> </w:t>
      </w:r>
      <w:r w:rsidR="005C04A1" w:rsidRPr="00B46382">
        <w:rPr>
          <w:rFonts w:cs="Arial"/>
          <w:szCs w:val="24"/>
        </w:rPr>
        <w:t>two</w:t>
      </w:r>
      <w:r w:rsidR="00BF5C7D" w:rsidRPr="00B46382">
        <w:rPr>
          <w:rFonts w:cs="Arial"/>
          <w:szCs w:val="24"/>
        </w:rPr>
        <w:t xml:space="preserve"> </w:t>
      </w:r>
      <w:r w:rsidR="005C04A1" w:rsidRPr="00B46382">
        <w:rPr>
          <w:rFonts w:cs="Arial"/>
          <w:szCs w:val="24"/>
        </w:rPr>
        <w:t xml:space="preserve">main </w:t>
      </w:r>
      <w:r w:rsidR="00BF5C7D" w:rsidRPr="00B46382">
        <w:rPr>
          <w:rFonts w:cs="Arial"/>
          <w:szCs w:val="24"/>
        </w:rPr>
        <w:t>risks</w:t>
      </w:r>
      <w:r w:rsidR="005B183E" w:rsidRPr="00B46382">
        <w:rPr>
          <w:rFonts w:cs="Arial"/>
          <w:szCs w:val="24"/>
        </w:rPr>
        <w:t xml:space="preserve"> relevant </w:t>
      </w:r>
      <w:r w:rsidR="00BF5C7D" w:rsidRPr="00B46382">
        <w:rPr>
          <w:rFonts w:cs="Arial"/>
          <w:szCs w:val="24"/>
        </w:rPr>
        <w:t>to our context</w:t>
      </w:r>
      <w:r w:rsidRPr="00B46382">
        <w:rPr>
          <w:rFonts w:cs="Arial"/>
          <w:szCs w:val="24"/>
        </w:rPr>
        <w:t xml:space="preserve"> in</w:t>
      </w:r>
      <w:r w:rsidR="00BF5C7D" w:rsidRPr="00B46382">
        <w:rPr>
          <w:rFonts w:cs="Arial"/>
          <w:szCs w:val="24"/>
        </w:rPr>
        <w:t xml:space="preserve"> </w:t>
      </w:r>
      <w:r w:rsidR="005C04A1" w:rsidRPr="00B46382">
        <w:rPr>
          <w:rFonts w:cs="Arial"/>
          <w:szCs w:val="24"/>
        </w:rPr>
        <w:t>Kirklees.</w:t>
      </w:r>
      <w:r w:rsidR="001627D8" w:rsidRPr="00B46382">
        <w:rPr>
          <w:rFonts w:cs="Arial"/>
          <w:szCs w:val="24"/>
        </w:rPr>
        <w:t xml:space="preserve"> </w:t>
      </w:r>
      <w:r w:rsidR="004C40A0" w:rsidRPr="00B46382">
        <w:rPr>
          <w:rFonts w:cs="Arial"/>
          <w:szCs w:val="24"/>
        </w:rPr>
        <w:t>These</w:t>
      </w:r>
      <w:r w:rsidR="00B36E09" w:rsidRPr="00B46382">
        <w:rPr>
          <w:rFonts w:cs="Arial"/>
          <w:szCs w:val="24"/>
        </w:rPr>
        <w:t xml:space="preserve"> will inform the planned intervention strategies </w:t>
      </w:r>
      <w:r w:rsidR="00861387" w:rsidRPr="00B46382">
        <w:rPr>
          <w:rFonts w:cs="Arial"/>
          <w:szCs w:val="24"/>
        </w:rPr>
        <w:t>designed and developed to mitigate the risks to equality of opportunity</w:t>
      </w:r>
      <w:r w:rsidR="00EF1A0B" w:rsidRPr="00B46382">
        <w:rPr>
          <w:rFonts w:cs="Arial"/>
          <w:szCs w:val="24"/>
        </w:rPr>
        <w:t>.</w:t>
      </w:r>
    </w:p>
    <w:p w14:paraId="30BBE91A" w14:textId="658CA9B0" w:rsidR="008E0EDC" w:rsidRPr="00B46382" w:rsidRDefault="009B3E5C" w:rsidP="000D238E">
      <w:pPr>
        <w:pStyle w:val="NormalWeb"/>
        <w:spacing w:before="0" w:beforeAutospacing="0" w:after="300" w:afterAutospacing="0"/>
        <w:rPr>
          <w:rFonts w:ascii="Arial" w:hAnsi="Arial" w:cs="Arial"/>
          <w:shd w:val="clear" w:color="auto" w:fill="FFFFFF"/>
        </w:rPr>
      </w:pPr>
      <w:r w:rsidRPr="004D5E82">
        <w:rPr>
          <w:rStyle w:val="Heading3Char"/>
        </w:rPr>
        <w:t>R</w:t>
      </w:r>
      <w:r w:rsidR="00B13B18" w:rsidRPr="004D5E82">
        <w:rPr>
          <w:rStyle w:val="Heading3Char"/>
        </w:rPr>
        <w:t>isk</w:t>
      </w:r>
      <w:r w:rsidR="007C5235" w:rsidRPr="004D5E82">
        <w:rPr>
          <w:rStyle w:val="Heading3Char"/>
        </w:rPr>
        <w:t xml:space="preserve"> </w:t>
      </w:r>
      <w:r w:rsidR="00370E82" w:rsidRPr="004D5E82">
        <w:rPr>
          <w:rStyle w:val="Heading3Char"/>
        </w:rPr>
        <w:t>2.</w:t>
      </w:r>
      <w:r w:rsidR="007C5235" w:rsidRPr="004D5E82">
        <w:rPr>
          <w:rStyle w:val="Heading3Char"/>
        </w:rPr>
        <w:t>1</w:t>
      </w:r>
      <w:r w:rsidRPr="00B46382">
        <w:rPr>
          <w:rFonts w:ascii="Arial" w:hAnsi="Arial" w:cs="Arial"/>
        </w:rPr>
        <w:t>:</w:t>
      </w:r>
      <w:r w:rsidR="000D238E" w:rsidRPr="00B46382">
        <w:rPr>
          <w:rFonts w:ascii="Arial" w:hAnsi="Arial" w:cs="Arial"/>
        </w:rPr>
        <w:t xml:space="preserve"> </w:t>
      </w:r>
      <w:r w:rsidR="004A128A" w:rsidRPr="00B46382">
        <w:rPr>
          <w:rFonts w:ascii="Arial" w:hAnsi="Arial" w:cs="Arial"/>
        </w:rPr>
        <w:t>W</w:t>
      </w:r>
      <w:r w:rsidR="00512743" w:rsidRPr="00B46382">
        <w:rPr>
          <w:rFonts w:ascii="Arial" w:hAnsi="Arial" w:cs="Arial"/>
        </w:rPr>
        <w:t xml:space="preserve">e </w:t>
      </w:r>
      <w:r w:rsidR="000D238E" w:rsidRPr="00B46382">
        <w:rPr>
          <w:rFonts w:ascii="Arial" w:hAnsi="Arial" w:cs="Arial"/>
        </w:rPr>
        <w:t>have identified</w:t>
      </w:r>
      <w:r w:rsidR="000D238E" w:rsidRPr="00B46382">
        <w:rPr>
          <w:rFonts w:ascii="Arial" w:hAnsi="Arial" w:cs="Arial"/>
          <w:color w:val="333333"/>
        </w:rPr>
        <w:t xml:space="preserve"> a </w:t>
      </w:r>
      <w:r w:rsidR="0017059E" w:rsidRPr="00B46382">
        <w:rPr>
          <w:rFonts w:ascii="Arial" w:hAnsi="Arial" w:cs="Arial"/>
          <w:color w:val="333333"/>
        </w:rPr>
        <w:t xml:space="preserve">significant </w:t>
      </w:r>
      <w:r w:rsidR="000D238E" w:rsidRPr="00B46382">
        <w:rPr>
          <w:rFonts w:ascii="Arial" w:hAnsi="Arial" w:cs="Arial"/>
          <w:color w:val="333333"/>
        </w:rPr>
        <w:t>gap in </w:t>
      </w:r>
      <w:r w:rsidR="000858C1" w:rsidRPr="00B46382">
        <w:rPr>
          <w:rStyle w:val="Strong"/>
          <w:rFonts w:ascii="Arial" w:hAnsi="Arial" w:cs="Arial"/>
          <w:b w:val="0"/>
          <w:bCs w:val="0"/>
          <w:color w:val="333333"/>
        </w:rPr>
        <w:t>achievement</w:t>
      </w:r>
      <w:r w:rsidR="000D238E" w:rsidRPr="00B46382">
        <w:rPr>
          <w:rStyle w:val="Strong"/>
          <w:rFonts w:ascii="Arial" w:hAnsi="Arial" w:cs="Arial"/>
          <w:b w:val="0"/>
          <w:bCs w:val="0"/>
          <w:color w:val="333333"/>
        </w:rPr>
        <w:t xml:space="preserve"> </w:t>
      </w:r>
      <w:r w:rsidR="00044D1B" w:rsidRPr="00B46382">
        <w:rPr>
          <w:rFonts w:ascii="Arial" w:hAnsi="Arial" w:cs="Arial"/>
          <w:color w:val="333333"/>
        </w:rPr>
        <w:t xml:space="preserve">between students </w:t>
      </w:r>
      <w:r w:rsidR="0035009C" w:rsidRPr="00B46382">
        <w:rPr>
          <w:rFonts w:ascii="Arial" w:hAnsi="Arial" w:cs="Arial"/>
          <w:color w:val="333333"/>
        </w:rPr>
        <w:t>from low</w:t>
      </w:r>
      <w:r w:rsidR="009D7A75" w:rsidRPr="00B46382">
        <w:rPr>
          <w:rFonts w:ascii="Arial" w:hAnsi="Arial" w:cs="Arial"/>
          <w:color w:val="333333"/>
        </w:rPr>
        <w:t xml:space="preserve"> </w:t>
      </w:r>
      <w:r w:rsidR="0035009C" w:rsidRPr="00B46382">
        <w:rPr>
          <w:rFonts w:ascii="Arial" w:hAnsi="Arial" w:cs="Arial"/>
          <w:color w:val="333333"/>
        </w:rPr>
        <w:t>and high deprivation groups</w:t>
      </w:r>
      <w:r w:rsidR="00171900" w:rsidRPr="00B46382">
        <w:rPr>
          <w:rFonts w:ascii="Arial" w:hAnsi="Arial" w:cs="Arial"/>
          <w:color w:val="333333"/>
        </w:rPr>
        <w:t xml:space="preserve">. </w:t>
      </w:r>
      <w:r w:rsidR="009D7A75" w:rsidRPr="00B46382">
        <w:rPr>
          <w:rFonts w:ascii="Arial" w:hAnsi="Arial" w:cs="Arial"/>
          <w:color w:val="333333"/>
        </w:rPr>
        <w:t>This</w:t>
      </w:r>
      <w:r w:rsidR="00171900" w:rsidRPr="00B46382">
        <w:rPr>
          <w:rFonts w:ascii="Arial" w:hAnsi="Arial" w:cs="Arial"/>
          <w:color w:val="333333"/>
        </w:rPr>
        <w:t xml:space="preserve"> data </w:t>
      </w:r>
      <w:r w:rsidR="001F1553" w:rsidRPr="00B46382">
        <w:rPr>
          <w:rFonts w:ascii="Arial" w:hAnsi="Arial" w:cs="Arial"/>
          <w:color w:val="333333"/>
        </w:rPr>
        <w:t>indicates</w:t>
      </w:r>
      <w:r w:rsidR="00171900" w:rsidRPr="00B46382">
        <w:rPr>
          <w:rFonts w:ascii="Arial" w:hAnsi="Arial" w:cs="Arial"/>
          <w:color w:val="333333"/>
        </w:rPr>
        <w:t xml:space="preserve"> that students from </w:t>
      </w:r>
      <w:r w:rsidR="00176B7D" w:rsidRPr="00B46382">
        <w:rPr>
          <w:rFonts w:ascii="Arial" w:hAnsi="Arial" w:cs="Arial"/>
          <w:color w:val="333333"/>
        </w:rPr>
        <w:t>the most deprived areas</w:t>
      </w:r>
      <w:r w:rsidR="00171900" w:rsidRPr="00B46382">
        <w:rPr>
          <w:rFonts w:ascii="Arial" w:hAnsi="Arial" w:cs="Arial"/>
          <w:color w:val="333333"/>
        </w:rPr>
        <w:t xml:space="preserve"> (IMD 1-2)</w:t>
      </w:r>
      <w:r w:rsidR="00171900" w:rsidRPr="00B46382">
        <w:rPr>
          <w:rFonts w:ascii="Arial" w:hAnsi="Arial" w:cs="Arial"/>
          <w:color w:val="FF0000"/>
        </w:rPr>
        <w:t xml:space="preserve"> </w:t>
      </w:r>
      <w:r w:rsidR="00176B7D" w:rsidRPr="00B46382">
        <w:rPr>
          <w:rFonts w:ascii="Arial" w:hAnsi="Arial" w:cs="Arial"/>
          <w:color w:val="000000" w:themeColor="text1"/>
        </w:rPr>
        <w:t>are less</w:t>
      </w:r>
      <w:r w:rsidR="00171900" w:rsidRPr="00B46382">
        <w:rPr>
          <w:rFonts w:ascii="Arial" w:hAnsi="Arial" w:cs="Arial"/>
          <w:color w:val="000000" w:themeColor="text1"/>
        </w:rPr>
        <w:t xml:space="preserve"> likely </w:t>
      </w:r>
      <w:r w:rsidR="00171900" w:rsidRPr="00B46382">
        <w:rPr>
          <w:rFonts w:ascii="Arial" w:hAnsi="Arial" w:cs="Arial"/>
        </w:rPr>
        <w:t>to achieve</w:t>
      </w:r>
      <w:r w:rsidR="000A38DD" w:rsidRPr="00B46382">
        <w:rPr>
          <w:rFonts w:ascii="Arial" w:hAnsi="Arial" w:cs="Arial"/>
        </w:rPr>
        <w:t xml:space="preserve"> than students from </w:t>
      </w:r>
      <w:r w:rsidR="00176B7D" w:rsidRPr="00B46382">
        <w:rPr>
          <w:rFonts w:ascii="Arial" w:hAnsi="Arial" w:cs="Arial"/>
        </w:rPr>
        <w:t>more affluent areas</w:t>
      </w:r>
      <w:r w:rsidR="006A5A82" w:rsidRPr="00B46382">
        <w:rPr>
          <w:rFonts w:ascii="Arial" w:hAnsi="Arial" w:cs="Arial"/>
        </w:rPr>
        <w:t xml:space="preserve"> (</w:t>
      </w:r>
      <w:r w:rsidR="00176B7D" w:rsidRPr="00B46382">
        <w:rPr>
          <w:rFonts w:ascii="Arial" w:hAnsi="Arial" w:cs="Arial"/>
        </w:rPr>
        <w:t xml:space="preserve">IMD </w:t>
      </w:r>
      <w:r w:rsidR="00FB28D1" w:rsidRPr="00B46382">
        <w:rPr>
          <w:rFonts w:ascii="Arial" w:hAnsi="Arial" w:cs="Arial"/>
        </w:rPr>
        <w:t>3-10</w:t>
      </w:r>
      <w:r w:rsidR="006A5A82" w:rsidRPr="00B46382">
        <w:rPr>
          <w:rFonts w:ascii="Arial" w:hAnsi="Arial" w:cs="Arial"/>
        </w:rPr>
        <w:t>)</w:t>
      </w:r>
      <w:r w:rsidR="000A38DD" w:rsidRPr="00B46382">
        <w:rPr>
          <w:rFonts w:ascii="Arial" w:hAnsi="Arial" w:cs="Arial"/>
        </w:rPr>
        <w:t>.</w:t>
      </w:r>
      <w:r w:rsidR="00176B7D" w:rsidRPr="00B46382">
        <w:rPr>
          <w:rFonts w:ascii="Arial" w:hAnsi="Arial" w:cs="Arial"/>
        </w:rPr>
        <w:t xml:space="preserve"> </w:t>
      </w:r>
      <w:r w:rsidR="00B35D09" w:rsidRPr="00B46382">
        <w:rPr>
          <w:rFonts w:ascii="Arial" w:hAnsi="Arial" w:cs="Arial"/>
        </w:rPr>
        <w:t>Despite relatively high pass rates, in</w:t>
      </w:r>
      <w:r w:rsidR="00176B7D" w:rsidRPr="00B46382">
        <w:rPr>
          <w:rFonts w:ascii="Arial" w:hAnsi="Arial" w:cs="Arial"/>
          <w:color w:val="333333"/>
        </w:rPr>
        <w:t xml:space="preserve"> 2022/23 the achievement gap was significant with students from IMD 1-2 and </w:t>
      </w:r>
      <w:r w:rsidR="00927C1F" w:rsidRPr="00B46382">
        <w:rPr>
          <w:rFonts w:ascii="Arial" w:hAnsi="Arial" w:cs="Arial"/>
        </w:rPr>
        <w:t xml:space="preserve">IMD </w:t>
      </w:r>
      <w:r w:rsidR="00176B7D" w:rsidRPr="00B46382">
        <w:rPr>
          <w:rFonts w:ascii="Arial" w:hAnsi="Arial" w:cs="Arial"/>
        </w:rPr>
        <w:t xml:space="preserve">3-10 showing </w:t>
      </w:r>
      <w:r w:rsidR="00176B7D" w:rsidRPr="00B46382">
        <w:rPr>
          <w:rFonts w:ascii="Arial" w:hAnsi="Arial" w:cs="Arial"/>
          <w:color w:val="333333"/>
        </w:rPr>
        <w:t>achievement of 60% and 78.85% respectively with an achievement gap of 18.85%.</w:t>
      </w:r>
      <w:r w:rsidR="006F1F48" w:rsidRPr="00B46382">
        <w:rPr>
          <w:rFonts w:ascii="Arial" w:hAnsi="Arial" w:cs="Arial"/>
          <w:color w:val="333333"/>
        </w:rPr>
        <w:t xml:space="preserve"> </w:t>
      </w:r>
      <w:r w:rsidR="000A38DD" w:rsidRPr="00B46382">
        <w:rPr>
          <w:rFonts w:ascii="Arial" w:hAnsi="Arial" w:cs="Arial"/>
        </w:rPr>
        <w:lastRenderedPageBreak/>
        <w:t xml:space="preserve">This data </w:t>
      </w:r>
      <w:r w:rsidR="001D5D32" w:rsidRPr="00B46382">
        <w:rPr>
          <w:rFonts w:ascii="Arial" w:hAnsi="Arial" w:cs="Arial"/>
        </w:rPr>
        <w:t xml:space="preserve">indicates that </w:t>
      </w:r>
      <w:r w:rsidR="00FA0070" w:rsidRPr="00B46382">
        <w:rPr>
          <w:rFonts w:ascii="Arial" w:hAnsi="Arial" w:cs="Arial"/>
          <w:color w:val="333333"/>
        </w:rPr>
        <w:t>stude</w:t>
      </w:r>
      <w:r w:rsidR="000A38DD" w:rsidRPr="00B46382">
        <w:rPr>
          <w:rFonts w:ascii="Arial" w:hAnsi="Arial" w:cs="Arial"/>
          <w:color w:val="333333"/>
        </w:rPr>
        <w:t xml:space="preserve">nts from </w:t>
      </w:r>
      <w:r w:rsidR="00A66F3B" w:rsidRPr="00B46382">
        <w:rPr>
          <w:rFonts w:ascii="Arial" w:hAnsi="Arial" w:cs="Arial"/>
          <w:color w:val="333333"/>
        </w:rPr>
        <w:t>areas of most</w:t>
      </w:r>
      <w:r w:rsidR="000A38DD" w:rsidRPr="00B46382">
        <w:rPr>
          <w:rFonts w:ascii="Arial" w:hAnsi="Arial" w:cs="Arial"/>
          <w:color w:val="333333"/>
        </w:rPr>
        <w:t xml:space="preserve"> de</w:t>
      </w:r>
      <w:r w:rsidR="001D5D32" w:rsidRPr="00B46382">
        <w:rPr>
          <w:rFonts w:ascii="Arial" w:hAnsi="Arial" w:cs="Arial"/>
          <w:color w:val="333333"/>
        </w:rPr>
        <w:t>privation</w:t>
      </w:r>
      <w:r w:rsidR="001601DD" w:rsidRPr="00B46382">
        <w:rPr>
          <w:rFonts w:ascii="Arial" w:hAnsi="Arial" w:cs="Arial"/>
          <w:color w:val="333333"/>
        </w:rPr>
        <w:t>/low househol</w:t>
      </w:r>
      <w:r w:rsidR="00BF74D6" w:rsidRPr="00B46382">
        <w:rPr>
          <w:rFonts w:ascii="Arial" w:hAnsi="Arial" w:cs="Arial"/>
          <w:color w:val="333333"/>
        </w:rPr>
        <w:t>d income</w:t>
      </w:r>
      <w:r w:rsidR="001D5D32" w:rsidRPr="00B46382">
        <w:rPr>
          <w:rFonts w:ascii="Arial" w:hAnsi="Arial" w:cs="Arial"/>
          <w:color w:val="333333"/>
        </w:rPr>
        <w:t xml:space="preserve"> may be</w:t>
      </w:r>
      <w:r w:rsidR="00512743" w:rsidRPr="00B46382">
        <w:rPr>
          <w:rFonts w:ascii="Arial" w:hAnsi="Arial" w:cs="Arial"/>
          <w:color w:val="333333"/>
          <w:shd w:val="clear" w:color="auto" w:fill="FFFFFF"/>
        </w:rPr>
        <w:t xml:space="preserve"> experiencing a risk to equality of opportunity</w:t>
      </w:r>
      <w:r w:rsidR="00E84E21" w:rsidRPr="00B46382">
        <w:rPr>
          <w:rFonts w:ascii="Arial" w:hAnsi="Arial" w:cs="Arial"/>
          <w:shd w:val="clear" w:color="auto" w:fill="FFFFFF"/>
        </w:rPr>
        <w:t xml:space="preserve"> and </w:t>
      </w:r>
      <w:r w:rsidR="00845D59" w:rsidRPr="00B46382">
        <w:rPr>
          <w:rFonts w:ascii="Arial" w:hAnsi="Arial" w:cs="Arial"/>
          <w:shd w:val="clear" w:color="auto" w:fill="FFFFFF"/>
        </w:rPr>
        <w:t xml:space="preserve">through </w:t>
      </w:r>
      <w:r w:rsidR="00603BEF" w:rsidRPr="00B46382">
        <w:rPr>
          <w:rFonts w:ascii="Arial" w:hAnsi="Arial" w:cs="Arial"/>
          <w:shd w:val="clear" w:color="auto" w:fill="FFFFFF"/>
        </w:rPr>
        <w:t>consideration</w:t>
      </w:r>
      <w:r w:rsidR="00845D59" w:rsidRPr="00B46382">
        <w:rPr>
          <w:rFonts w:ascii="Arial" w:hAnsi="Arial" w:cs="Arial"/>
          <w:shd w:val="clear" w:color="auto" w:fill="FFFFFF"/>
        </w:rPr>
        <w:t xml:space="preserve"> of the</w:t>
      </w:r>
      <w:r w:rsidR="00E84E21" w:rsidRPr="00B46382">
        <w:rPr>
          <w:rFonts w:ascii="Arial" w:hAnsi="Arial" w:cs="Arial"/>
          <w:shd w:val="clear" w:color="auto" w:fill="FFFFFF"/>
        </w:rPr>
        <w:t xml:space="preserve"> EORR</w:t>
      </w:r>
      <w:r w:rsidR="00BE0BA5" w:rsidRPr="00B46382">
        <w:rPr>
          <w:rFonts w:ascii="Arial" w:hAnsi="Arial" w:cs="Arial"/>
          <w:shd w:val="clear" w:color="auto" w:fill="FFFFFF"/>
        </w:rPr>
        <w:t xml:space="preserve"> evidence suggests this</w:t>
      </w:r>
      <w:r w:rsidR="00E84E21" w:rsidRPr="00B46382">
        <w:rPr>
          <w:rFonts w:ascii="Arial" w:hAnsi="Arial" w:cs="Arial"/>
          <w:shd w:val="clear" w:color="auto" w:fill="FFFFFF"/>
        </w:rPr>
        <w:t xml:space="preserve"> may be related to the </w:t>
      </w:r>
      <w:r w:rsidR="008E0EDC" w:rsidRPr="00B46382">
        <w:rPr>
          <w:rFonts w:ascii="Arial" w:hAnsi="Arial" w:cs="Arial"/>
          <w:shd w:val="clear" w:color="auto" w:fill="FFFFFF"/>
        </w:rPr>
        <w:t xml:space="preserve">following </w:t>
      </w:r>
      <w:r w:rsidR="002D22D5" w:rsidRPr="00B46382">
        <w:rPr>
          <w:rFonts w:ascii="Arial" w:hAnsi="Arial" w:cs="Arial"/>
          <w:shd w:val="clear" w:color="auto" w:fill="FFFFFF"/>
        </w:rPr>
        <w:t>underlying</w:t>
      </w:r>
      <w:r w:rsidR="007D17CD" w:rsidRPr="00B46382">
        <w:rPr>
          <w:rFonts w:ascii="Arial" w:hAnsi="Arial" w:cs="Arial"/>
          <w:shd w:val="clear" w:color="auto" w:fill="FFFFFF"/>
        </w:rPr>
        <w:t xml:space="preserve"> </w:t>
      </w:r>
      <w:r w:rsidR="006E3DA9" w:rsidRPr="00B46382">
        <w:rPr>
          <w:rFonts w:ascii="Arial" w:hAnsi="Arial" w:cs="Arial"/>
          <w:shd w:val="clear" w:color="auto" w:fill="FFFFFF"/>
        </w:rPr>
        <w:t xml:space="preserve">sector-wide </w:t>
      </w:r>
      <w:r w:rsidR="007D17CD" w:rsidRPr="00B46382">
        <w:rPr>
          <w:rFonts w:ascii="Arial" w:hAnsi="Arial" w:cs="Arial"/>
          <w:shd w:val="clear" w:color="auto" w:fill="FFFFFF"/>
        </w:rPr>
        <w:t>risks</w:t>
      </w:r>
      <w:r w:rsidR="008E0EDC" w:rsidRPr="00B46382">
        <w:rPr>
          <w:rFonts w:ascii="Arial" w:hAnsi="Arial" w:cs="Arial"/>
          <w:shd w:val="clear" w:color="auto" w:fill="FFFFFF"/>
        </w:rPr>
        <w:t>:</w:t>
      </w:r>
      <w:r w:rsidR="000952F6" w:rsidRPr="00B46382">
        <w:rPr>
          <w:rFonts w:ascii="Arial" w:hAnsi="Arial" w:cs="Arial"/>
          <w:shd w:val="clear" w:color="auto" w:fill="FFFFFF"/>
        </w:rPr>
        <w:t xml:space="preserve"> </w:t>
      </w:r>
    </w:p>
    <w:p w14:paraId="7AE7E743" w14:textId="788A8777" w:rsidR="00292A04" w:rsidRPr="00B46382" w:rsidRDefault="008E0EDC" w:rsidP="000D238E">
      <w:pPr>
        <w:pStyle w:val="NormalWeb"/>
        <w:spacing w:before="0" w:beforeAutospacing="0" w:after="300" w:afterAutospacing="0"/>
        <w:rPr>
          <w:rFonts w:ascii="Arial" w:hAnsi="Arial" w:cs="Arial"/>
        </w:rPr>
      </w:pPr>
      <w:r w:rsidRPr="00B46382">
        <w:rPr>
          <w:rFonts w:ascii="Arial" w:hAnsi="Arial" w:cs="Arial"/>
          <w:shd w:val="clear" w:color="auto" w:fill="FFFFFF"/>
        </w:rPr>
        <w:t xml:space="preserve">Risk 1: </w:t>
      </w:r>
      <w:r w:rsidR="003655C3" w:rsidRPr="00B46382">
        <w:rPr>
          <w:rFonts w:ascii="Arial" w:hAnsi="Arial" w:cs="Arial"/>
        </w:rPr>
        <w:t>K</w:t>
      </w:r>
      <w:r w:rsidR="002458F4" w:rsidRPr="00B46382">
        <w:rPr>
          <w:rFonts w:ascii="Arial" w:hAnsi="Arial" w:cs="Arial"/>
        </w:rPr>
        <w:t xml:space="preserve">nowledge and </w:t>
      </w:r>
      <w:r w:rsidR="003655C3" w:rsidRPr="00B46382">
        <w:rPr>
          <w:rFonts w:ascii="Arial" w:hAnsi="Arial" w:cs="Arial"/>
        </w:rPr>
        <w:t>S</w:t>
      </w:r>
      <w:r w:rsidR="002458F4" w:rsidRPr="00B46382">
        <w:rPr>
          <w:rFonts w:ascii="Arial" w:hAnsi="Arial" w:cs="Arial"/>
        </w:rPr>
        <w:t>kills</w:t>
      </w:r>
      <w:r w:rsidR="00A11A59" w:rsidRPr="00B46382">
        <w:rPr>
          <w:rFonts w:ascii="Arial" w:hAnsi="Arial" w:cs="Arial"/>
        </w:rPr>
        <w:t xml:space="preserve">                                                                                                </w:t>
      </w:r>
      <w:r w:rsidRPr="00B46382">
        <w:rPr>
          <w:rFonts w:ascii="Arial" w:hAnsi="Arial" w:cs="Arial"/>
        </w:rPr>
        <w:t xml:space="preserve">Risk 2: </w:t>
      </w:r>
      <w:r w:rsidR="003655C3" w:rsidRPr="00B46382">
        <w:rPr>
          <w:rFonts w:ascii="Arial" w:hAnsi="Arial" w:cs="Arial"/>
        </w:rPr>
        <w:t>Information and Guidance</w:t>
      </w:r>
      <w:r w:rsidR="00A11A59" w:rsidRPr="00B46382">
        <w:rPr>
          <w:rFonts w:ascii="Arial" w:hAnsi="Arial" w:cs="Arial"/>
        </w:rPr>
        <w:t xml:space="preserve">                                                                                             </w:t>
      </w:r>
      <w:r w:rsidRPr="00B46382">
        <w:rPr>
          <w:rFonts w:ascii="Arial" w:hAnsi="Arial" w:cs="Arial"/>
        </w:rPr>
        <w:t xml:space="preserve">Risk 3: </w:t>
      </w:r>
      <w:r w:rsidR="00404C31" w:rsidRPr="00B46382">
        <w:rPr>
          <w:rFonts w:ascii="Arial" w:hAnsi="Arial" w:cs="Arial"/>
        </w:rPr>
        <w:t>Perception of HE</w:t>
      </w:r>
      <w:r w:rsidR="00783E6B" w:rsidRPr="00B46382">
        <w:rPr>
          <w:rFonts w:ascii="Arial" w:hAnsi="Arial" w:cs="Arial"/>
        </w:rPr>
        <w:t xml:space="preserve">                                                                                                        </w:t>
      </w:r>
      <w:r w:rsidRPr="00B46382">
        <w:rPr>
          <w:rFonts w:ascii="Arial" w:hAnsi="Arial" w:cs="Arial"/>
        </w:rPr>
        <w:t xml:space="preserve">Risk 5: </w:t>
      </w:r>
      <w:r w:rsidR="00242E94" w:rsidRPr="00B46382">
        <w:rPr>
          <w:rFonts w:ascii="Arial" w:hAnsi="Arial" w:cs="Arial"/>
        </w:rPr>
        <w:t>L</w:t>
      </w:r>
      <w:r w:rsidR="00644417" w:rsidRPr="00B46382">
        <w:rPr>
          <w:rFonts w:ascii="Arial" w:hAnsi="Arial" w:cs="Arial"/>
        </w:rPr>
        <w:t>imited choice of course type and delivery</w:t>
      </w:r>
      <w:r w:rsidR="00AE76EC" w:rsidRPr="00B46382">
        <w:rPr>
          <w:rFonts w:ascii="Arial" w:hAnsi="Arial" w:cs="Arial"/>
        </w:rPr>
        <w:t xml:space="preserve"> mode</w:t>
      </w:r>
      <w:r w:rsidR="00A11A59" w:rsidRPr="00B46382">
        <w:rPr>
          <w:rFonts w:ascii="Arial" w:hAnsi="Arial" w:cs="Arial"/>
        </w:rPr>
        <w:t xml:space="preserve">                                                                            Risk 7: Insufficient Academic Support                     </w:t>
      </w:r>
      <w:r w:rsidR="00292A04" w:rsidRPr="00B46382">
        <w:rPr>
          <w:rFonts w:ascii="Arial" w:hAnsi="Arial" w:cs="Arial"/>
        </w:rPr>
        <w:t xml:space="preserve">                                                               Risk 8: Mental Health</w:t>
      </w:r>
      <w:r w:rsidR="008D444B" w:rsidRPr="00B46382">
        <w:rPr>
          <w:rFonts w:ascii="Arial" w:hAnsi="Arial" w:cs="Arial"/>
        </w:rPr>
        <w:t xml:space="preserve">                                                                                                           </w:t>
      </w:r>
      <w:r w:rsidR="00A11A59" w:rsidRPr="00B46382">
        <w:rPr>
          <w:rFonts w:ascii="Arial" w:hAnsi="Arial" w:cs="Arial"/>
        </w:rPr>
        <w:t>Risk 10: Cost Pressures</w:t>
      </w:r>
    </w:p>
    <w:p w14:paraId="0AED3A3A" w14:textId="4BF5AC42" w:rsidR="00B122A4" w:rsidRPr="00B46382" w:rsidRDefault="00376B70" w:rsidP="00B122A4">
      <w:pPr>
        <w:pStyle w:val="NormalWeb"/>
        <w:spacing w:before="0" w:beforeAutospacing="0" w:after="300" w:afterAutospacing="0"/>
        <w:rPr>
          <w:rFonts w:ascii="Arial" w:hAnsi="Arial" w:cs="Arial"/>
          <w:shd w:val="clear" w:color="auto" w:fill="FFFFFF"/>
        </w:rPr>
      </w:pPr>
      <w:r w:rsidRPr="004D5E82">
        <w:rPr>
          <w:rStyle w:val="Heading3Char"/>
        </w:rPr>
        <w:t>Ris</w:t>
      </w:r>
      <w:r w:rsidR="0060790D" w:rsidRPr="004D5E82">
        <w:rPr>
          <w:rStyle w:val="Heading3Char"/>
        </w:rPr>
        <w:t>k 2</w:t>
      </w:r>
      <w:r w:rsidR="00370E82" w:rsidRPr="004D5E82">
        <w:rPr>
          <w:rStyle w:val="Heading3Char"/>
        </w:rPr>
        <w:t>.2</w:t>
      </w:r>
      <w:r w:rsidR="0060790D" w:rsidRPr="004D5E82">
        <w:rPr>
          <w:rStyle w:val="Heading3Char"/>
        </w:rPr>
        <w:t>:</w:t>
      </w:r>
      <w:r w:rsidR="0060790D" w:rsidRPr="00B46382">
        <w:rPr>
          <w:rFonts w:ascii="Arial" w:hAnsi="Arial" w:cs="Arial"/>
          <w:color w:val="000000" w:themeColor="text1"/>
        </w:rPr>
        <w:t xml:space="preserve"> </w:t>
      </w:r>
      <w:r w:rsidR="004A128A" w:rsidRPr="00B46382">
        <w:rPr>
          <w:rFonts w:ascii="Arial" w:hAnsi="Arial" w:cs="Arial"/>
          <w:color w:val="333333"/>
        </w:rPr>
        <w:t>W</w:t>
      </w:r>
      <w:r w:rsidR="0060790D" w:rsidRPr="00B46382">
        <w:rPr>
          <w:rFonts w:ascii="Arial" w:hAnsi="Arial" w:cs="Arial"/>
          <w:color w:val="333333"/>
        </w:rPr>
        <w:t>e have identified a gap in </w:t>
      </w:r>
      <w:r w:rsidR="0060790D" w:rsidRPr="00B46382">
        <w:rPr>
          <w:rStyle w:val="Strong"/>
          <w:rFonts w:ascii="Arial" w:hAnsi="Arial" w:cs="Arial"/>
          <w:b w:val="0"/>
          <w:bCs w:val="0"/>
          <w:color w:val="333333"/>
        </w:rPr>
        <w:t>achievement rates</w:t>
      </w:r>
      <w:r w:rsidR="0060790D" w:rsidRPr="00B46382">
        <w:rPr>
          <w:rFonts w:ascii="Arial" w:hAnsi="Arial" w:cs="Arial"/>
          <w:color w:val="333333"/>
        </w:rPr>
        <w:t> between young and mature s</w:t>
      </w:r>
      <w:r w:rsidR="004A128A" w:rsidRPr="00B46382">
        <w:rPr>
          <w:rFonts w:ascii="Arial" w:hAnsi="Arial" w:cs="Arial"/>
          <w:color w:val="333333"/>
        </w:rPr>
        <w:t>tudents,</w:t>
      </w:r>
      <w:r w:rsidR="0060790D" w:rsidRPr="00B46382">
        <w:rPr>
          <w:rFonts w:ascii="Arial" w:hAnsi="Arial" w:cs="Arial"/>
          <w:color w:val="333333"/>
        </w:rPr>
        <w:t xml:space="preserve"> </w:t>
      </w:r>
      <w:r w:rsidR="004A128A" w:rsidRPr="00B46382">
        <w:rPr>
          <w:rFonts w:ascii="Arial" w:hAnsi="Arial" w:cs="Arial"/>
          <w:color w:val="333333"/>
        </w:rPr>
        <w:t xml:space="preserve">with </w:t>
      </w:r>
      <w:r w:rsidR="000965DA" w:rsidRPr="00B46382">
        <w:rPr>
          <w:rFonts w:ascii="Arial" w:hAnsi="Arial" w:cs="Arial"/>
          <w:color w:val="333333"/>
        </w:rPr>
        <w:t>mature</w:t>
      </w:r>
      <w:r w:rsidR="0060790D" w:rsidRPr="00B46382">
        <w:rPr>
          <w:rFonts w:ascii="Arial" w:hAnsi="Arial" w:cs="Arial"/>
          <w:color w:val="333333"/>
        </w:rPr>
        <w:t xml:space="preserve"> students </w:t>
      </w:r>
      <w:r w:rsidR="004A128A" w:rsidRPr="00B46382">
        <w:rPr>
          <w:rFonts w:ascii="Arial" w:hAnsi="Arial" w:cs="Arial"/>
        </w:rPr>
        <w:t>being</w:t>
      </w:r>
      <w:r w:rsidR="0060790D" w:rsidRPr="00B46382">
        <w:rPr>
          <w:rFonts w:ascii="Arial" w:hAnsi="Arial" w:cs="Arial"/>
        </w:rPr>
        <w:t xml:space="preserve"> more likely to achieve than </w:t>
      </w:r>
      <w:r w:rsidR="000965DA" w:rsidRPr="00B46382">
        <w:rPr>
          <w:rFonts w:ascii="Arial" w:hAnsi="Arial" w:cs="Arial"/>
        </w:rPr>
        <w:t>young students</w:t>
      </w:r>
      <w:r w:rsidR="00CF58D4" w:rsidRPr="00B46382">
        <w:rPr>
          <w:rFonts w:ascii="Arial" w:hAnsi="Arial" w:cs="Arial"/>
        </w:rPr>
        <w:t>. Despite relatively high pass rates,</w:t>
      </w:r>
      <w:r w:rsidR="009E62A5" w:rsidRPr="00B46382">
        <w:rPr>
          <w:rFonts w:ascii="Arial" w:hAnsi="Arial" w:cs="Arial"/>
          <w:color w:val="333333"/>
        </w:rPr>
        <w:t xml:space="preserve"> in 2022/23 the achievement gap is significant with young and mature students showing achievement of 62.5% and 80% respectively with an achievement gap of 17.50%.</w:t>
      </w:r>
      <w:r w:rsidR="008E5F9B" w:rsidRPr="00B46382">
        <w:rPr>
          <w:rFonts w:ascii="Arial" w:hAnsi="Arial" w:cs="Arial"/>
          <w:shd w:val="clear" w:color="auto" w:fill="FFFFFF"/>
        </w:rPr>
        <w:t xml:space="preserve"> </w:t>
      </w:r>
      <w:r w:rsidR="00B122A4" w:rsidRPr="00B46382">
        <w:rPr>
          <w:rFonts w:ascii="Arial" w:hAnsi="Arial" w:cs="Arial"/>
        </w:rPr>
        <w:t xml:space="preserve">This data indicates that </w:t>
      </w:r>
      <w:r w:rsidR="005C7FE2" w:rsidRPr="00B46382">
        <w:rPr>
          <w:rFonts w:ascii="Arial" w:hAnsi="Arial" w:cs="Arial"/>
        </w:rPr>
        <w:t xml:space="preserve">our </w:t>
      </w:r>
      <w:r w:rsidR="00CF3C22" w:rsidRPr="00B46382">
        <w:rPr>
          <w:rFonts w:ascii="Arial" w:hAnsi="Arial" w:cs="Arial"/>
        </w:rPr>
        <w:t xml:space="preserve">young </w:t>
      </w:r>
      <w:r w:rsidR="00B122A4" w:rsidRPr="00B46382">
        <w:rPr>
          <w:rFonts w:ascii="Arial" w:hAnsi="Arial" w:cs="Arial"/>
          <w:color w:val="333333"/>
        </w:rPr>
        <w:t>students</w:t>
      </w:r>
      <w:r w:rsidR="008E5F9B" w:rsidRPr="00B46382">
        <w:rPr>
          <w:rFonts w:ascii="Arial" w:hAnsi="Arial" w:cs="Arial"/>
          <w:color w:val="333333"/>
        </w:rPr>
        <w:t xml:space="preserve"> </w:t>
      </w:r>
      <w:r w:rsidR="00B122A4" w:rsidRPr="00B46382">
        <w:rPr>
          <w:rFonts w:ascii="Arial" w:hAnsi="Arial" w:cs="Arial"/>
          <w:color w:val="333333"/>
        </w:rPr>
        <w:t>may be</w:t>
      </w:r>
      <w:r w:rsidR="00B122A4" w:rsidRPr="00B46382">
        <w:rPr>
          <w:rFonts w:ascii="Arial" w:hAnsi="Arial" w:cs="Arial"/>
          <w:color w:val="333333"/>
          <w:shd w:val="clear" w:color="auto" w:fill="FFFFFF"/>
        </w:rPr>
        <w:t xml:space="preserve"> experiencing a risk to equality of opportunity</w:t>
      </w:r>
      <w:r w:rsidR="005C7FE2" w:rsidRPr="00B46382">
        <w:rPr>
          <w:rFonts w:ascii="Arial" w:hAnsi="Arial" w:cs="Arial"/>
          <w:shd w:val="clear" w:color="auto" w:fill="FFFFFF"/>
        </w:rPr>
        <w:t>. T</w:t>
      </w:r>
      <w:r w:rsidR="00603BEF" w:rsidRPr="00B46382">
        <w:rPr>
          <w:rFonts w:ascii="Arial" w:hAnsi="Arial" w:cs="Arial"/>
          <w:shd w:val="clear" w:color="auto" w:fill="FFFFFF"/>
        </w:rPr>
        <w:t>hrough consideration of the</w:t>
      </w:r>
      <w:r w:rsidR="00B122A4" w:rsidRPr="00B46382">
        <w:rPr>
          <w:rFonts w:ascii="Arial" w:hAnsi="Arial" w:cs="Arial"/>
          <w:shd w:val="clear" w:color="auto" w:fill="FFFFFF"/>
        </w:rPr>
        <w:t xml:space="preserve"> EORR </w:t>
      </w:r>
      <w:r w:rsidR="004844F5" w:rsidRPr="00B46382">
        <w:rPr>
          <w:rFonts w:ascii="Arial" w:hAnsi="Arial" w:cs="Arial"/>
          <w:shd w:val="clear" w:color="auto" w:fill="FFFFFF"/>
        </w:rPr>
        <w:t xml:space="preserve">evidence suggests this </w:t>
      </w:r>
      <w:r w:rsidR="00B122A4" w:rsidRPr="00B46382">
        <w:rPr>
          <w:rFonts w:ascii="Arial" w:hAnsi="Arial" w:cs="Arial"/>
          <w:shd w:val="clear" w:color="auto" w:fill="FFFFFF"/>
        </w:rPr>
        <w:t xml:space="preserve">may be related to the following underlying sector-wide risks: </w:t>
      </w:r>
    </w:p>
    <w:p w14:paraId="33D25A9C" w14:textId="5D050291" w:rsidR="00B974A7" w:rsidRPr="00B46382" w:rsidRDefault="00B122A4" w:rsidP="00896264">
      <w:pPr>
        <w:pStyle w:val="NormalWeb"/>
        <w:spacing w:before="0" w:beforeAutospacing="0" w:after="300" w:afterAutospacing="0"/>
        <w:rPr>
          <w:rFonts w:ascii="Arial" w:hAnsi="Arial" w:cs="Arial"/>
        </w:rPr>
      </w:pPr>
      <w:r w:rsidRPr="00B46382">
        <w:rPr>
          <w:rFonts w:ascii="Arial" w:hAnsi="Arial" w:cs="Arial"/>
          <w:shd w:val="clear" w:color="auto" w:fill="FFFFFF"/>
        </w:rPr>
        <w:t xml:space="preserve">Risk 1: </w:t>
      </w:r>
      <w:r w:rsidRPr="00B46382">
        <w:rPr>
          <w:rFonts w:ascii="Arial" w:hAnsi="Arial" w:cs="Arial"/>
        </w:rPr>
        <w:t>Knowledge and Skills                                                                                                Risk 2: Information and Guidance                                                                                             Risk 3: Perception of HE</w:t>
      </w:r>
      <w:r w:rsidR="00352F1D" w:rsidRPr="00B46382">
        <w:rPr>
          <w:rFonts w:ascii="Arial" w:hAnsi="Arial" w:cs="Arial"/>
        </w:rPr>
        <w:t xml:space="preserve">                                                                                                      </w:t>
      </w:r>
      <w:r w:rsidRPr="00B46382">
        <w:rPr>
          <w:rFonts w:ascii="Arial" w:hAnsi="Arial" w:cs="Arial"/>
        </w:rPr>
        <w:t>Risk 5: Limited choice of course type and delivery mode</w:t>
      </w:r>
      <w:r w:rsidR="00C57A55" w:rsidRPr="00B46382">
        <w:rPr>
          <w:rFonts w:ascii="Arial" w:hAnsi="Arial" w:cs="Arial"/>
        </w:rPr>
        <w:t xml:space="preserve">                                                      Risk 7: Insufficient Academic Support                                                                                    Risk 8: Mental Health                                                                                                           Risk 10: Cost Pressures</w:t>
      </w:r>
      <w:r w:rsidRPr="00B46382">
        <w:rPr>
          <w:rFonts w:ascii="Arial" w:hAnsi="Arial" w:cs="Arial"/>
        </w:rPr>
        <w:t xml:space="preserve">                                  </w:t>
      </w:r>
    </w:p>
    <w:p w14:paraId="79639C10" w14:textId="18C8503E" w:rsidR="00B974A7" w:rsidRPr="00B46382" w:rsidRDefault="00B974A7" w:rsidP="00896264">
      <w:pPr>
        <w:pStyle w:val="NormalWeb"/>
        <w:spacing w:before="0" w:beforeAutospacing="0" w:after="300" w:afterAutospacing="0"/>
        <w:rPr>
          <w:rFonts w:ascii="Arial" w:hAnsi="Arial" w:cs="Arial"/>
        </w:rPr>
      </w:pPr>
      <w:r w:rsidRPr="00B46382">
        <w:rPr>
          <w:rFonts w:ascii="Arial" w:hAnsi="Arial" w:cs="Arial"/>
        </w:rPr>
        <w:t xml:space="preserve">Any of these identified risks are likely to impact a student’s access to HE, continuation and </w:t>
      </w:r>
      <w:r w:rsidR="004A128A" w:rsidRPr="00B46382">
        <w:rPr>
          <w:rFonts w:ascii="Arial" w:hAnsi="Arial" w:cs="Arial"/>
        </w:rPr>
        <w:t>attainment</w:t>
      </w:r>
      <w:r w:rsidR="000B2315" w:rsidRPr="00B46382">
        <w:rPr>
          <w:rFonts w:ascii="Arial" w:hAnsi="Arial" w:cs="Arial"/>
        </w:rPr>
        <w:t xml:space="preserve"> and </w:t>
      </w:r>
      <w:r w:rsidRPr="00B46382">
        <w:rPr>
          <w:rFonts w:ascii="Arial" w:hAnsi="Arial" w:cs="Arial"/>
        </w:rPr>
        <w:t>completion of their HE qualifica</w:t>
      </w:r>
      <w:r w:rsidR="004A128A" w:rsidRPr="00B46382">
        <w:rPr>
          <w:rFonts w:ascii="Arial" w:hAnsi="Arial" w:cs="Arial"/>
        </w:rPr>
        <w:t>tion,</w:t>
      </w:r>
      <w:r w:rsidRPr="00B46382">
        <w:rPr>
          <w:rFonts w:ascii="Arial" w:hAnsi="Arial" w:cs="Arial"/>
        </w:rPr>
        <w:t xml:space="preserve"> progression into employment or further study</w:t>
      </w:r>
      <w:r w:rsidR="00073714" w:rsidRPr="00B46382">
        <w:rPr>
          <w:rFonts w:ascii="Arial" w:hAnsi="Arial" w:cs="Arial"/>
        </w:rPr>
        <w:t xml:space="preserve"> and therefore provide an inequality of opportunity.</w:t>
      </w:r>
    </w:p>
    <w:p w14:paraId="726E4682" w14:textId="787AB04E" w:rsidR="00F97865" w:rsidRPr="00B46382" w:rsidRDefault="00F9114E" w:rsidP="006D3C03">
      <w:pPr>
        <w:shd w:val="clear" w:color="auto" w:fill="FFFFFF"/>
        <w:spacing w:before="100" w:beforeAutospacing="1" w:after="150" w:line="240" w:lineRule="auto"/>
        <w:rPr>
          <w:rFonts w:cs="Arial"/>
          <w:szCs w:val="24"/>
        </w:rPr>
      </w:pPr>
      <w:r w:rsidRPr="00B46382">
        <w:rPr>
          <w:rFonts w:cs="Arial"/>
          <w:szCs w:val="24"/>
        </w:rPr>
        <w:t>With the identified risks in mind, our intervention strategies will be designed to reduce inequality of opportunities, with the primary aim of meeting the two key objectives outlined below. Further details o</w:t>
      </w:r>
      <w:r w:rsidR="00470B74" w:rsidRPr="00B46382">
        <w:rPr>
          <w:rFonts w:cs="Arial"/>
          <w:szCs w:val="24"/>
        </w:rPr>
        <w:t>f</w:t>
      </w:r>
      <w:r w:rsidRPr="00B46382">
        <w:rPr>
          <w:rFonts w:cs="Arial"/>
          <w:szCs w:val="24"/>
        </w:rPr>
        <w:t xml:space="preserve"> our context and supporting literature for EORR risks 1, 2, 3, 5, 7, 8, and 10 can be found in Annex B.</w:t>
      </w:r>
    </w:p>
    <w:p w14:paraId="3DD887B8" w14:textId="77777777" w:rsidR="00A95CE4" w:rsidRPr="00B46382" w:rsidRDefault="00A95CE4" w:rsidP="006D3C03">
      <w:pPr>
        <w:shd w:val="clear" w:color="auto" w:fill="FFFFFF"/>
        <w:spacing w:before="100" w:beforeAutospacing="1" w:after="150" w:line="240" w:lineRule="auto"/>
        <w:rPr>
          <w:rFonts w:eastAsia="Times New Roman" w:cs="Arial"/>
          <w:color w:val="333333"/>
          <w:szCs w:val="24"/>
          <w:lang w:eastAsia="en-GB"/>
        </w:rPr>
      </w:pPr>
    </w:p>
    <w:p w14:paraId="796165C5" w14:textId="77777777" w:rsidR="005444F0" w:rsidRPr="00B46382" w:rsidRDefault="005444F0" w:rsidP="00896264">
      <w:pPr>
        <w:pStyle w:val="NormalWeb"/>
        <w:spacing w:before="0" w:beforeAutospacing="0" w:after="300" w:afterAutospacing="0"/>
        <w:rPr>
          <w:rFonts w:ascii="Arial" w:hAnsi="Arial" w:cs="Arial"/>
          <w:b/>
          <w:bCs/>
          <w:u w:val="single"/>
        </w:rPr>
      </w:pPr>
    </w:p>
    <w:p w14:paraId="55FA1CA1" w14:textId="77777777" w:rsidR="005444F0" w:rsidRPr="00B46382" w:rsidRDefault="005444F0" w:rsidP="00896264">
      <w:pPr>
        <w:pStyle w:val="NormalWeb"/>
        <w:spacing w:before="0" w:beforeAutospacing="0" w:after="300" w:afterAutospacing="0"/>
        <w:rPr>
          <w:rFonts w:ascii="Arial" w:hAnsi="Arial" w:cs="Arial"/>
          <w:b/>
          <w:bCs/>
          <w:u w:val="single"/>
        </w:rPr>
      </w:pPr>
    </w:p>
    <w:p w14:paraId="7FB061B2" w14:textId="77777777" w:rsidR="005444F0" w:rsidRPr="00B46382" w:rsidRDefault="005444F0" w:rsidP="00896264">
      <w:pPr>
        <w:pStyle w:val="NormalWeb"/>
        <w:spacing w:before="0" w:beforeAutospacing="0" w:after="300" w:afterAutospacing="0"/>
        <w:rPr>
          <w:rFonts w:ascii="Arial" w:hAnsi="Arial" w:cs="Arial"/>
          <w:b/>
          <w:bCs/>
          <w:u w:val="single"/>
        </w:rPr>
      </w:pPr>
    </w:p>
    <w:p w14:paraId="78C3BFE3" w14:textId="024D96D4" w:rsidR="005444F0" w:rsidRDefault="005444F0" w:rsidP="00896264">
      <w:pPr>
        <w:pStyle w:val="NormalWeb"/>
        <w:spacing w:before="0" w:beforeAutospacing="0" w:after="300" w:afterAutospacing="0"/>
        <w:rPr>
          <w:rFonts w:ascii="Arial" w:hAnsi="Arial" w:cs="Arial"/>
          <w:b/>
          <w:bCs/>
          <w:u w:val="single"/>
        </w:rPr>
      </w:pPr>
    </w:p>
    <w:p w14:paraId="759FFF2E" w14:textId="77777777" w:rsidR="004D5E82" w:rsidRPr="00B46382" w:rsidRDefault="004D5E82" w:rsidP="00896264">
      <w:pPr>
        <w:pStyle w:val="NormalWeb"/>
        <w:spacing w:before="0" w:beforeAutospacing="0" w:after="300" w:afterAutospacing="0"/>
        <w:rPr>
          <w:rFonts w:ascii="Arial" w:hAnsi="Arial" w:cs="Arial"/>
          <w:b/>
          <w:bCs/>
          <w:u w:val="single"/>
        </w:rPr>
      </w:pPr>
    </w:p>
    <w:p w14:paraId="0062CF97" w14:textId="6C28EAC7" w:rsidR="00FF08F2" w:rsidRPr="00B46382" w:rsidRDefault="00FF08F2" w:rsidP="004D5E82">
      <w:pPr>
        <w:pStyle w:val="Heading2"/>
      </w:pPr>
      <w:r w:rsidRPr="00B46382">
        <w:lastRenderedPageBreak/>
        <w:t xml:space="preserve">3. Objectives </w:t>
      </w:r>
    </w:p>
    <w:p w14:paraId="09C663D6" w14:textId="77777777" w:rsidR="004D5E82" w:rsidRDefault="002F449F" w:rsidP="004D5E82">
      <w:pPr>
        <w:pStyle w:val="Heading3"/>
        <w:rPr>
          <w:b w:val="0"/>
        </w:rPr>
      </w:pPr>
      <w:r w:rsidRPr="00B46382">
        <w:rPr>
          <w:b w:val="0"/>
        </w:rPr>
        <w:t>3.1</w:t>
      </w:r>
      <w:r w:rsidR="00D10F63" w:rsidRPr="00B46382">
        <w:rPr>
          <w:b w:val="0"/>
        </w:rPr>
        <w:t>:</w:t>
      </w:r>
      <w:r w:rsidRPr="00B46382">
        <w:rPr>
          <w:b w:val="0"/>
        </w:rPr>
        <w:t xml:space="preserve"> Performance Target </w:t>
      </w:r>
      <w:r w:rsidR="001614FC" w:rsidRPr="00B46382">
        <w:rPr>
          <w:b w:val="0"/>
        </w:rPr>
        <w:t>Success</w:t>
      </w:r>
      <w:r w:rsidRPr="00B46382">
        <w:rPr>
          <w:b w:val="0"/>
        </w:rPr>
        <w:t xml:space="preserve"> 1 (PT</w:t>
      </w:r>
      <w:r w:rsidR="001614FC" w:rsidRPr="00B46382">
        <w:rPr>
          <w:b w:val="0"/>
        </w:rPr>
        <w:t>S</w:t>
      </w:r>
      <w:r w:rsidRPr="00B46382">
        <w:rPr>
          <w:b w:val="0"/>
        </w:rPr>
        <w:t>_1)</w:t>
      </w:r>
    </w:p>
    <w:p w14:paraId="777E18E1" w14:textId="1AF0B9F9" w:rsidR="006355F5" w:rsidRPr="004D5E82" w:rsidRDefault="004D5E82" w:rsidP="006355F5">
      <w:pPr>
        <w:pStyle w:val="NormalWeb"/>
        <w:spacing w:before="0" w:beforeAutospacing="0" w:after="300" w:afterAutospacing="0"/>
        <w:rPr>
          <w:rFonts w:ascii="Arial" w:hAnsi="Arial" w:cs="Arial"/>
          <w:bCs/>
          <w:color w:val="000000" w:themeColor="text1"/>
        </w:rPr>
      </w:pPr>
      <w:r w:rsidRPr="004D5E82">
        <w:rPr>
          <w:rFonts w:ascii="Arial" w:hAnsi="Arial" w:cs="Arial"/>
          <w:bCs/>
          <w:color w:val="000000" w:themeColor="text1"/>
        </w:rPr>
        <w:t>R</w:t>
      </w:r>
      <w:r w:rsidR="000F2670" w:rsidRPr="004D5E82">
        <w:rPr>
          <w:rFonts w:ascii="Arial" w:hAnsi="Arial" w:cs="Arial"/>
          <w:bCs/>
          <w:color w:val="000000" w:themeColor="text1"/>
        </w:rPr>
        <w:t xml:space="preserve">educe the achievement gap between students from </w:t>
      </w:r>
      <w:r w:rsidR="00A66F06" w:rsidRPr="004D5E82">
        <w:rPr>
          <w:rFonts w:ascii="Arial" w:hAnsi="Arial" w:cs="Arial"/>
          <w:bCs/>
          <w:color w:val="000000" w:themeColor="text1"/>
        </w:rPr>
        <w:t xml:space="preserve">most </w:t>
      </w:r>
      <w:r w:rsidR="000F2670" w:rsidRPr="004D5E82">
        <w:rPr>
          <w:rFonts w:ascii="Arial" w:hAnsi="Arial" w:cs="Arial"/>
          <w:bCs/>
          <w:color w:val="000000" w:themeColor="text1"/>
        </w:rPr>
        <w:t>deprived socio-economic backgrounds (IMD Q1-2) and more affluent socio-economic backgrounds (IMD 3-10</w:t>
      </w:r>
      <w:r w:rsidR="00ED716B" w:rsidRPr="004D5E82">
        <w:rPr>
          <w:rFonts w:ascii="Arial" w:hAnsi="Arial" w:cs="Arial"/>
          <w:bCs/>
          <w:color w:val="000000" w:themeColor="text1"/>
        </w:rPr>
        <w:t>)</w:t>
      </w:r>
      <w:r w:rsidR="000F2670" w:rsidRPr="004D5E82">
        <w:rPr>
          <w:rFonts w:ascii="Arial" w:hAnsi="Arial" w:cs="Arial"/>
          <w:bCs/>
          <w:color w:val="000000" w:themeColor="text1"/>
        </w:rPr>
        <w:t xml:space="preserve"> from 18.85% in 2022/23 to </w:t>
      </w:r>
      <w:r w:rsidR="00AD1FB6" w:rsidRPr="004D5E82">
        <w:rPr>
          <w:rFonts w:ascii="Arial" w:hAnsi="Arial" w:cs="Arial"/>
          <w:bCs/>
          <w:color w:val="000000" w:themeColor="text1"/>
        </w:rPr>
        <w:t>6</w:t>
      </w:r>
      <w:r w:rsidR="000F2670" w:rsidRPr="004D5E82">
        <w:rPr>
          <w:rFonts w:ascii="Arial" w:hAnsi="Arial" w:cs="Arial"/>
          <w:bCs/>
          <w:color w:val="000000" w:themeColor="text1"/>
        </w:rPr>
        <w:t xml:space="preserve">% in 2028/29. </w:t>
      </w:r>
    </w:p>
    <w:tbl>
      <w:tblPr>
        <w:tblStyle w:val="TableGrid"/>
        <w:tblW w:w="0" w:type="auto"/>
        <w:tblLook w:val="04A0" w:firstRow="1" w:lastRow="0" w:firstColumn="1" w:lastColumn="0" w:noHBand="0" w:noVBand="1"/>
      </w:tblPr>
      <w:tblGrid>
        <w:gridCol w:w="1838"/>
        <w:gridCol w:w="2126"/>
      </w:tblGrid>
      <w:tr w:rsidR="006355F5" w:rsidRPr="00B46382" w14:paraId="06257A79" w14:textId="77777777" w:rsidTr="007E40BA">
        <w:tc>
          <w:tcPr>
            <w:tcW w:w="1838" w:type="dxa"/>
          </w:tcPr>
          <w:p w14:paraId="3B8D7257" w14:textId="77777777"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Year</w:t>
            </w:r>
          </w:p>
        </w:tc>
        <w:tc>
          <w:tcPr>
            <w:tcW w:w="2126" w:type="dxa"/>
          </w:tcPr>
          <w:p w14:paraId="3C683E29" w14:textId="77777777"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Deprivation Achievement Gap</w:t>
            </w:r>
          </w:p>
        </w:tc>
      </w:tr>
      <w:tr w:rsidR="006355F5" w:rsidRPr="00B46382" w14:paraId="37B8C77E" w14:textId="77777777" w:rsidTr="007E40BA">
        <w:tc>
          <w:tcPr>
            <w:tcW w:w="1838" w:type="dxa"/>
          </w:tcPr>
          <w:p w14:paraId="66D823AF" w14:textId="77777777"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Year 1: 2025/6 </w:t>
            </w:r>
          </w:p>
        </w:tc>
        <w:tc>
          <w:tcPr>
            <w:tcW w:w="2126" w:type="dxa"/>
          </w:tcPr>
          <w:p w14:paraId="0CDDE577" w14:textId="5A0F832B"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1</w:t>
            </w:r>
            <w:r w:rsidR="00E752ED" w:rsidRPr="00B46382">
              <w:rPr>
                <w:rFonts w:ascii="Arial" w:hAnsi="Arial" w:cs="Arial"/>
                <w:color w:val="333333"/>
              </w:rPr>
              <w:t>6</w:t>
            </w:r>
            <w:r w:rsidRPr="00B46382">
              <w:rPr>
                <w:rFonts w:ascii="Arial" w:hAnsi="Arial" w:cs="Arial"/>
                <w:color w:val="333333"/>
              </w:rPr>
              <w:t>%</w:t>
            </w:r>
          </w:p>
        </w:tc>
      </w:tr>
      <w:tr w:rsidR="006355F5" w:rsidRPr="00B46382" w14:paraId="28E6E972" w14:textId="77777777" w:rsidTr="007E40BA">
        <w:tc>
          <w:tcPr>
            <w:tcW w:w="1838" w:type="dxa"/>
          </w:tcPr>
          <w:p w14:paraId="46CA0EA1" w14:textId="77777777"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Year 2: 2026/7</w:t>
            </w:r>
          </w:p>
        </w:tc>
        <w:tc>
          <w:tcPr>
            <w:tcW w:w="2126" w:type="dxa"/>
          </w:tcPr>
          <w:p w14:paraId="50A018DE" w14:textId="39468B14"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1</w:t>
            </w:r>
            <w:r w:rsidR="00E752ED" w:rsidRPr="00B46382">
              <w:rPr>
                <w:rFonts w:ascii="Arial" w:hAnsi="Arial" w:cs="Arial"/>
                <w:color w:val="333333"/>
              </w:rPr>
              <w:t>2</w:t>
            </w:r>
            <w:r w:rsidRPr="00B46382">
              <w:rPr>
                <w:rFonts w:ascii="Arial" w:hAnsi="Arial" w:cs="Arial"/>
                <w:color w:val="333333"/>
              </w:rPr>
              <w:t>%</w:t>
            </w:r>
          </w:p>
        </w:tc>
      </w:tr>
      <w:tr w:rsidR="006355F5" w:rsidRPr="00B46382" w14:paraId="61B35757" w14:textId="77777777" w:rsidTr="007E40BA">
        <w:tc>
          <w:tcPr>
            <w:tcW w:w="1838" w:type="dxa"/>
          </w:tcPr>
          <w:p w14:paraId="3D968A5D" w14:textId="77777777"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Year 3: 2027/8 </w:t>
            </w:r>
          </w:p>
        </w:tc>
        <w:tc>
          <w:tcPr>
            <w:tcW w:w="2126" w:type="dxa"/>
          </w:tcPr>
          <w:p w14:paraId="5346E45B" w14:textId="0989D253" w:rsidR="006355F5" w:rsidRPr="00B46382" w:rsidRDefault="00E752ED" w:rsidP="00DF3662">
            <w:pPr>
              <w:pStyle w:val="NormalWeb"/>
              <w:spacing w:before="0" w:beforeAutospacing="0" w:after="300" w:afterAutospacing="0"/>
              <w:rPr>
                <w:rFonts w:ascii="Arial" w:hAnsi="Arial" w:cs="Arial"/>
                <w:color w:val="333333"/>
              </w:rPr>
            </w:pPr>
            <w:r w:rsidRPr="00B46382">
              <w:rPr>
                <w:rFonts w:ascii="Arial" w:hAnsi="Arial" w:cs="Arial"/>
                <w:color w:val="333333"/>
              </w:rPr>
              <w:t>9</w:t>
            </w:r>
            <w:r w:rsidR="006355F5" w:rsidRPr="00B46382">
              <w:rPr>
                <w:rFonts w:ascii="Arial" w:hAnsi="Arial" w:cs="Arial"/>
                <w:color w:val="333333"/>
              </w:rPr>
              <w:t>%</w:t>
            </w:r>
          </w:p>
        </w:tc>
      </w:tr>
      <w:tr w:rsidR="006355F5" w:rsidRPr="00B46382" w14:paraId="67167187" w14:textId="77777777" w:rsidTr="007E40BA">
        <w:tc>
          <w:tcPr>
            <w:tcW w:w="1838" w:type="dxa"/>
          </w:tcPr>
          <w:p w14:paraId="382A8E1B" w14:textId="77777777" w:rsidR="006355F5" w:rsidRPr="00B46382" w:rsidRDefault="006355F5"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Year 4: 2028/9 </w:t>
            </w:r>
          </w:p>
        </w:tc>
        <w:tc>
          <w:tcPr>
            <w:tcW w:w="2126" w:type="dxa"/>
          </w:tcPr>
          <w:p w14:paraId="539A720E" w14:textId="472458C0" w:rsidR="006355F5" w:rsidRPr="00B46382" w:rsidRDefault="000B2057" w:rsidP="00DF3662">
            <w:pPr>
              <w:pStyle w:val="NormalWeb"/>
              <w:spacing w:before="0" w:beforeAutospacing="0" w:after="300" w:afterAutospacing="0"/>
              <w:rPr>
                <w:rFonts w:ascii="Arial" w:hAnsi="Arial" w:cs="Arial"/>
                <w:color w:val="333333"/>
              </w:rPr>
            </w:pPr>
            <w:r w:rsidRPr="00B46382">
              <w:rPr>
                <w:rFonts w:ascii="Arial" w:hAnsi="Arial" w:cs="Arial"/>
                <w:color w:val="333333"/>
              </w:rPr>
              <w:t>6</w:t>
            </w:r>
            <w:r w:rsidR="006355F5" w:rsidRPr="00B46382">
              <w:rPr>
                <w:rFonts w:ascii="Arial" w:hAnsi="Arial" w:cs="Arial"/>
                <w:color w:val="333333"/>
              </w:rPr>
              <w:t>%</w:t>
            </w:r>
          </w:p>
        </w:tc>
      </w:tr>
    </w:tbl>
    <w:p w14:paraId="58EEF991" w14:textId="607C4F04" w:rsidR="000F2670" w:rsidRPr="00B46382" w:rsidRDefault="006D3C03" w:rsidP="000F2670">
      <w:pPr>
        <w:pStyle w:val="NormalWeb"/>
        <w:spacing w:before="0" w:beforeAutospacing="0" w:after="300" w:afterAutospacing="0"/>
        <w:rPr>
          <w:rFonts w:ascii="Arial" w:hAnsi="Arial" w:cs="Arial"/>
          <w:b/>
          <w:bCs/>
          <w:color w:val="333333"/>
          <w:u w:val="single"/>
        </w:rPr>
      </w:pPr>
      <w:r w:rsidRPr="00B46382">
        <w:rPr>
          <w:rFonts w:ascii="Arial" w:hAnsi="Arial" w:cs="Arial"/>
        </w:rPr>
        <w:t xml:space="preserve">Table 1: Targets for achievement gap between students from most deprived socio-economic backgrounds (IMD Q1-2) and more affluent socio-economic backgrounds (IMD 3-10) from 2025 to 2029. </w:t>
      </w:r>
    </w:p>
    <w:p w14:paraId="42877DA8" w14:textId="77777777" w:rsidR="004D5E82" w:rsidRDefault="00D10F63" w:rsidP="004D5E82">
      <w:pPr>
        <w:pStyle w:val="Heading3"/>
        <w:rPr>
          <w:b w:val="0"/>
        </w:rPr>
      </w:pPr>
      <w:r w:rsidRPr="00B46382">
        <w:rPr>
          <w:b w:val="0"/>
        </w:rPr>
        <w:t>3.2: Performance Target Success 1 (PTS_2)</w:t>
      </w:r>
    </w:p>
    <w:p w14:paraId="2E151DD1" w14:textId="1D4537A0" w:rsidR="007E40BA" w:rsidRPr="004D5E82" w:rsidRDefault="004D5E82" w:rsidP="007E40BA">
      <w:pPr>
        <w:pStyle w:val="NormalWeb"/>
        <w:spacing w:before="0" w:beforeAutospacing="0" w:after="300" w:afterAutospacing="0"/>
        <w:rPr>
          <w:rFonts w:ascii="Arial" w:hAnsi="Arial" w:cs="Arial"/>
          <w:bCs/>
        </w:rPr>
      </w:pPr>
      <w:r w:rsidRPr="004D5E82">
        <w:rPr>
          <w:rFonts w:ascii="Arial" w:hAnsi="Arial" w:cs="Arial"/>
          <w:bCs/>
        </w:rPr>
        <w:t>R</w:t>
      </w:r>
      <w:r w:rsidR="005A59CE" w:rsidRPr="004D5E82">
        <w:rPr>
          <w:rFonts w:ascii="Arial" w:hAnsi="Arial" w:cs="Arial"/>
          <w:bCs/>
        </w:rPr>
        <w:t>educe the achievement gap between young and mature students from</w:t>
      </w:r>
      <w:r w:rsidR="006B4A25" w:rsidRPr="004D5E82">
        <w:rPr>
          <w:rFonts w:ascii="Arial" w:hAnsi="Arial" w:cs="Arial"/>
          <w:bCs/>
        </w:rPr>
        <w:t xml:space="preserve"> 17.50% in 2022/23 to </w:t>
      </w:r>
      <w:r w:rsidR="00BB1713" w:rsidRPr="004D5E82">
        <w:rPr>
          <w:rFonts w:ascii="Arial" w:hAnsi="Arial" w:cs="Arial"/>
          <w:bCs/>
        </w:rPr>
        <w:t>2</w:t>
      </w:r>
      <w:r w:rsidR="006B4A25" w:rsidRPr="004D5E82">
        <w:rPr>
          <w:rFonts w:ascii="Arial" w:hAnsi="Arial" w:cs="Arial"/>
          <w:bCs/>
        </w:rPr>
        <w:t>% in 20</w:t>
      </w:r>
      <w:r w:rsidR="00017579" w:rsidRPr="004D5E82">
        <w:rPr>
          <w:rFonts w:ascii="Arial" w:hAnsi="Arial" w:cs="Arial"/>
          <w:bCs/>
        </w:rPr>
        <w:t>28/29.</w:t>
      </w:r>
      <w:r w:rsidR="005A59CE" w:rsidRPr="004D5E82">
        <w:rPr>
          <w:rFonts w:ascii="Arial" w:hAnsi="Arial" w:cs="Arial"/>
          <w:bCs/>
        </w:rPr>
        <w:t xml:space="preserve"> </w:t>
      </w:r>
    </w:p>
    <w:tbl>
      <w:tblPr>
        <w:tblStyle w:val="TableGrid"/>
        <w:tblW w:w="0" w:type="auto"/>
        <w:tblLook w:val="04A0" w:firstRow="1" w:lastRow="0" w:firstColumn="1" w:lastColumn="0" w:noHBand="0" w:noVBand="1"/>
      </w:tblPr>
      <w:tblGrid>
        <w:gridCol w:w="1838"/>
        <w:gridCol w:w="3260"/>
      </w:tblGrid>
      <w:tr w:rsidR="007E40BA" w:rsidRPr="00B46382" w14:paraId="4A20BA8A" w14:textId="77777777" w:rsidTr="00DF3662">
        <w:tc>
          <w:tcPr>
            <w:tcW w:w="1838" w:type="dxa"/>
          </w:tcPr>
          <w:p w14:paraId="7B25B7C2"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Year</w:t>
            </w:r>
          </w:p>
        </w:tc>
        <w:tc>
          <w:tcPr>
            <w:tcW w:w="3260" w:type="dxa"/>
          </w:tcPr>
          <w:p w14:paraId="71078FB3"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Age Achievement Gap </w:t>
            </w:r>
          </w:p>
        </w:tc>
      </w:tr>
      <w:tr w:rsidR="007E40BA" w:rsidRPr="00B46382" w14:paraId="7615BD02" w14:textId="77777777" w:rsidTr="00DF3662">
        <w:tc>
          <w:tcPr>
            <w:tcW w:w="1838" w:type="dxa"/>
          </w:tcPr>
          <w:p w14:paraId="64A12B5A"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Year 1: 2025/6 </w:t>
            </w:r>
          </w:p>
        </w:tc>
        <w:tc>
          <w:tcPr>
            <w:tcW w:w="3260" w:type="dxa"/>
          </w:tcPr>
          <w:p w14:paraId="16091921"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14%</w:t>
            </w:r>
          </w:p>
        </w:tc>
      </w:tr>
      <w:tr w:rsidR="007E40BA" w:rsidRPr="00B46382" w14:paraId="527E7ED1" w14:textId="77777777" w:rsidTr="00DF3662">
        <w:tc>
          <w:tcPr>
            <w:tcW w:w="1838" w:type="dxa"/>
          </w:tcPr>
          <w:p w14:paraId="3B00F481"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Year 2: 2026/7</w:t>
            </w:r>
          </w:p>
        </w:tc>
        <w:tc>
          <w:tcPr>
            <w:tcW w:w="3260" w:type="dxa"/>
          </w:tcPr>
          <w:p w14:paraId="2EB0DF97"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10%</w:t>
            </w:r>
          </w:p>
        </w:tc>
      </w:tr>
      <w:tr w:rsidR="007E40BA" w:rsidRPr="00B46382" w14:paraId="6807731E" w14:textId="77777777" w:rsidTr="00DF3662">
        <w:tc>
          <w:tcPr>
            <w:tcW w:w="1838" w:type="dxa"/>
          </w:tcPr>
          <w:p w14:paraId="59D40565"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Year 3: 2027/8 </w:t>
            </w:r>
          </w:p>
        </w:tc>
        <w:tc>
          <w:tcPr>
            <w:tcW w:w="3260" w:type="dxa"/>
          </w:tcPr>
          <w:p w14:paraId="35DFDBFE" w14:textId="6688008A" w:rsidR="007E40BA" w:rsidRPr="00B46382" w:rsidRDefault="00E752ED" w:rsidP="00DF3662">
            <w:pPr>
              <w:pStyle w:val="NormalWeb"/>
              <w:spacing w:before="0" w:beforeAutospacing="0" w:after="300" w:afterAutospacing="0"/>
              <w:rPr>
                <w:rFonts w:ascii="Arial" w:hAnsi="Arial" w:cs="Arial"/>
                <w:color w:val="333333"/>
              </w:rPr>
            </w:pPr>
            <w:r w:rsidRPr="00B46382">
              <w:rPr>
                <w:rFonts w:ascii="Arial" w:hAnsi="Arial" w:cs="Arial"/>
                <w:color w:val="333333"/>
              </w:rPr>
              <w:t>6</w:t>
            </w:r>
            <w:r w:rsidR="007E40BA" w:rsidRPr="00B46382">
              <w:rPr>
                <w:rFonts w:ascii="Arial" w:hAnsi="Arial" w:cs="Arial"/>
                <w:color w:val="333333"/>
              </w:rPr>
              <w:t>%</w:t>
            </w:r>
          </w:p>
        </w:tc>
      </w:tr>
      <w:tr w:rsidR="007E40BA" w:rsidRPr="00B46382" w14:paraId="5BFF30F2" w14:textId="77777777" w:rsidTr="00DF3662">
        <w:tc>
          <w:tcPr>
            <w:tcW w:w="1838" w:type="dxa"/>
          </w:tcPr>
          <w:p w14:paraId="00D8298F" w14:textId="77777777" w:rsidR="007E40BA" w:rsidRPr="00B46382" w:rsidRDefault="007E40BA" w:rsidP="00DF3662">
            <w:pPr>
              <w:pStyle w:val="NormalWeb"/>
              <w:spacing w:before="0" w:beforeAutospacing="0" w:after="300" w:afterAutospacing="0"/>
              <w:rPr>
                <w:rFonts w:ascii="Arial" w:hAnsi="Arial" w:cs="Arial"/>
                <w:color w:val="333333"/>
              </w:rPr>
            </w:pPr>
            <w:r w:rsidRPr="00B46382">
              <w:rPr>
                <w:rFonts w:ascii="Arial" w:hAnsi="Arial" w:cs="Arial"/>
                <w:color w:val="333333"/>
              </w:rPr>
              <w:t xml:space="preserve">Year 4: 2028/9 </w:t>
            </w:r>
          </w:p>
        </w:tc>
        <w:tc>
          <w:tcPr>
            <w:tcW w:w="3260" w:type="dxa"/>
          </w:tcPr>
          <w:p w14:paraId="7FBEF663" w14:textId="04932F01" w:rsidR="007E40BA" w:rsidRPr="00B46382" w:rsidRDefault="00BB1713" w:rsidP="00DF3662">
            <w:pPr>
              <w:pStyle w:val="NormalWeb"/>
              <w:spacing w:before="0" w:beforeAutospacing="0" w:after="300" w:afterAutospacing="0"/>
              <w:rPr>
                <w:rFonts w:ascii="Arial" w:hAnsi="Arial" w:cs="Arial"/>
                <w:color w:val="333333"/>
              </w:rPr>
            </w:pPr>
            <w:r w:rsidRPr="00B46382">
              <w:rPr>
                <w:rFonts w:ascii="Arial" w:hAnsi="Arial" w:cs="Arial"/>
                <w:color w:val="333333"/>
              </w:rPr>
              <w:t>2</w:t>
            </w:r>
            <w:r w:rsidR="007E40BA" w:rsidRPr="00B46382">
              <w:rPr>
                <w:rFonts w:ascii="Arial" w:hAnsi="Arial" w:cs="Arial"/>
                <w:color w:val="333333"/>
              </w:rPr>
              <w:t>%</w:t>
            </w:r>
          </w:p>
        </w:tc>
      </w:tr>
    </w:tbl>
    <w:p w14:paraId="038FD9F0" w14:textId="5B89E6C5" w:rsidR="00355148" w:rsidRPr="00B46382" w:rsidRDefault="006D3C03" w:rsidP="004D5E82">
      <w:pPr>
        <w:pStyle w:val="NormalWeb"/>
        <w:spacing w:before="0" w:beforeAutospacing="0" w:after="300" w:afterAutospacing="0"/>
        <w:rPr>
          <w:rFonts w:ascii="Arial" w:hAnsi="Arial" w:cs="Arial"/>
        </w:rPr>
      </w:pPr>
      <w:r w:rsidRPr="00B46382">
        <w:rPr>
          <w:rFonts w:ascii="Arial" w:hAnsi="Arial" w:cs="Arial"/>
        </w:rPr>
        <w:t>Table 2: Targets for achievement gap between young and mature students from 2025 to 2029</w:t>
      </w:r>
      <w:r w:rsidR="00C72E70" w:rsidRPr="00B46382">
        <w:rPr>
          <w:rFonts w:ascii="Arial" w:hAnsi="Arial" w:cs="Arial"/>
        </w:rPr>
        <w:t>.</w:t>
      </w:r>
    </w:p>
    <w:p w14:paraId="694CCCC6" w14:textId="1FBBC5ED" w:rsidR="008D1776" w:rsidRPr="00B46382" w:rsidRDefault="00355148" w:rsidP="007E236A">
      <w:pPr>
        <w:spacing w:after="0" w:line="240" w:lineRule="auto"/>
        <w:rPr>
          <w:rFonts w:eastAsia="Times New Roman" w:cs="Arial"/>
          <w:szCs w:val="24"/>
          <w:lang w:eastAsia="en-GB"/>
        </w:rPr>
        <w:sectPr w:rsidR="008D1776" w:rsidRPr="00B46382">
          <w:footerReference w:type="default" r:id="rId10"/>
          <w:pgSz w:w="11906" w:h="16838"/>
          <w:pgMar w:top="1440" w:right="1440" w:bottom="1440" w:left="1440" w:header="708" w:footer="708" w:gutter="0"/>
          <w:cols w:space="708"/>
          <w:docGrid w:linePitch="360"/>
        </w:sectPr>
      </w:pPr>
      <w:r w:rsidRPr="00B46382">
        <w:rPr>
          <w:rFonts w:eastAsia="Times New Roman" w:cs="Arial"/>
          <w:szCs w:val="24"/>
          <w:lang w:eastAsia="en-GB"/>
        </w:rPr>
        <w:t>We have focussed on 2 main objectives</w:t>
      </w:r>
      <w:r w:rsidR="00E51157" w:rsidRPr="00B46382">
        <w:rPr>
          <w:rFonts w:eastAsia="Times New Roman" w:cs="Arial"/>
          <w:szCs w:val="24"/>
          <w:lang w:eastAsia="en-GB"/>
        </w:rPr>
        <w:t xml:space="preserve"> that form our Performance Success Targets. We are aware that much of our work also aligns </w:t>
      </w:r>
      <w:r w:rsidR="00B2310B" w:rsidRPr="00B46382">
        <w:rPr>
          <w:rFonts w:eastAsia="Times New Roman" w:cs="Arial"/>
          <w:szCs w:val="24"/>
          <w:lang w:eastAsia="en-GB"/>
        </w:rPr>
        <w:t>with ‘</w:t>
      </w:r>
      <w:proofErr w:type="gramStart"/>
      <w:r w:rsidR="00B2310B" w:rsidRPr="00B46382">
        <w:rPr>
          <w:rFonts w:eastAsia="Times New Roman" w:cs="Arial"/>
          <w:szCs w:val="24"/>
          <w:lang w:eastAsia="en-GB"/>
        </w:rPr>
        <w:t>access’</w:t>
      </w:r>
      <w:proofErr w:type="gramEnd"/>
      <w:r w:rsidR="00B2310B" w:rsidRPr="00B46382">
        <w:rPr>
          <w:rFonts w:eastAsia="Times New Roman" w:cs="Arial"/>
          <w:szCs w:val="24"/>
          <w:lang w:eastAsia="en-GB"/>
        </w:rPr>
        <w:t xml:space="preserve"> to HE</w:t>
      </w:r>
      <w:r w:rsidR="008761D5" w:rsidRPr="00B46382">
        <w:rPr>
          <w:rFonts w:eastAsia="Times New Roman" w:cs="Arial"/>
          <w:szCs w:val="24"/>
          <w:lang w:eastAsia="en-GB"/>
        </w:rPr>
        <w:t xml:space="preserve"> e.g. our collaborations with GHWY</w:t>
      </w:r>
      <w:r w:rsidR="002B1BBE" w:rsidRPr="00B46382">
        <w:rPr>
          <w:rFonts w:eastAsia="Times New Roman" w:cs="Arial"/>
          <w:szCs w:val="24"/>
          <w:lang w:eastAsia="en-GB"/>
        </w:rPr>
        <w:t xml:space="preserve"> and</w:t>
      </w:r>
      <w:r w:rsidR="008761D5" w:rsidRPr="00B46382">
        <w:rPr>
          <w:rFonts w:eastAsia="Times New Roman" w:cs="Arial"/>
          <w:szCs w:val="24"/>
          <w:lang w:eastAsia="en-GB"/>
        </w:rPr>
        <w:t xml:space="preserve"> </w:t>
      </w:r>
      <w:r w:rsidR="005E26ED" w:rsidRPr="00B46382">
        <w:rPr>
          <w:rFonts w:eastAsia="Times New Roman" w:cs="Arial"/>
          <w:szCs w:val="24"/>
          <w:lang w:eastAsia="en-GB"/>
        </w:rPr>
        <w:t>C</w:t>
      </w:r>
      <w:r w:rsidR="008761D5" w:rsidRPr="00B46382">
        <w:rPr>
          <w:rFonts w:eastAsia="Times New Roman" w:cs="Arial"/>
          <w:szCs w:val="24"/>
          <w:lang w:eastAsia="en-GB"/>
        </w:rPr>
        <w:t xml:space="preserve">areers </w:t>
      </w:r>
      <w:r w:rsidR="005E26ED" w:rsidRPr="00B46382">
        <w:rPr>
          <w:rFonts w:eastAsia="Times New Roman" w:cs="Arial"/>
          <w:szCs w:val="24"/>
          <w:lang w:eastAsia="en-GB"/>
        </w:rPr>
        <w:t>E</w:t>
      </w:r>
      <w:r w:rsidR="008761D5" w:rsidRPr="00B46382">
        <w:rPr>
          <w:rFonts w:eastAsia="Times New Roman" w:cs="Arial"/>
          <w:szCs w:val="24"/>
          <w:lang w:eastAsia="en-GB"/>
        </w:rPr>
        <w:t>vents</w:t>
      </w:r>
      <w:r w:rsidR="00B2310B" w:rsidRPr="00B46382">
        <w:rPr>
          <w:rFonts w:eastAsia="Times New Roman" w:cs="Arial"/>
          <w:szCs w:val="24"/>
          <w:lang w:eastAsia="en-GB"/>
        </w:rPr>
        <w:t>.</w:t>
      </w:r>
      <w:r w:rsidR="00A21952" w:rsidRPr="00B46382">
        <w:rPr>
          <w:rFonts w:eastAsia="Times New Roman" w:cs="Arial"/>
          <w:szCs w:val="24"/>
          <w:lang w:eastAsia="en-GB"/>
        </w:rPr>
        <w:t xml:space="preserve"> Yet we feel that our </w:t>
      </w:r>
      <w:r w:rsidR="00E3773C" w:rsidRPr="00B46382">
        <w:rPr>
          <w:rFonts w:eastAsia="Times New Roman" w:cs="Arial"/>
          <w:szCs w:val="24"/>
          <w:lang w:eastAsia="en-GB"/>
        </w:rPr>
        <w:t xml:space="preserve">APP </w:t>
      </w:r>
      <w:r w:rsidR="00A21952" w:rsidRPr="00B46382">
        <w:rPr>
          <w:rFonts w:eastAsia="Times New Roman" w:cs="Arial"/>
          <w:szCs w:val="24"/>
          <w:lang w:eastAsia="en-GB"/>
        </w:rPr>
        <w:t xml:space="preserve">focus is presently to </w:t>
      </w:r>
      <w:r w:rsidR="00DD7BD9" w:rsidRPr="00B46382">
        <w:rPr>
          <w:rFonts w:eastAsia="Times New Roman" w:cs="Arial"/>
          <w:szCs w:val="24"/>
          <w:lang w:eastAsia="en-GB"/>
        </w:rPr>
        <w:t xml:space="preserve">support student attainment and completion </w:t>
      </w:r>
      <w:r w:rsidR="002B1BBE" w:rsidRPr="00B46382">
        <w:rPr>
          <w:rFonts w:eastAsia="Times New Roman" w:cs="Arial"/>
          <w:szCs w:val="24"/>
          <w:lang w:eastAsia="en-GB"/>
        </w:rPr>
        <w:t>by</w:t>
      </w:r>
      <w:r w:rsidR="005E3969" w:rsidRPr="00B46382">
        <w:rPr>
          <w:rFonts w:eastAsia="Times New Roman" w:cs="Arial"/>
          <w:szCs w:val="24"/>
          <w:lang w:eastAsia="en-GB"/>
        </w:rPr>
        <w:t xml:space="preserve"> enhanc</w:t>
      </w:r>
      <w:r w:rsidR="002B1BBE" w:rsidRPr="00B46382">
        <w:rPr>
          <w:rFonts w:eastAsia="Times New Roman" w:cs="Arial"/>
          <w:szCs w:val="24"/>
          <w:lang w:eastAsia="en-GB"/>
        </w:rPr>
        <w:t>ing</w:t>
      </w:r>
      <w:r w:rsidR="005E3969" w:rsidRPr="00B46382">
        <w:rPr>
          <w:rFonts w:eastAsia="Times New Roman" w:cs="Arial"/>
          <w:szCs w:val="24"/>
          <w:lang w:eastAsia="en-GB"/>
        </w:rPr>
        <w:t xml:space="preserve"> the quality of our HE </w:t>
      </w:r>
      <w:proofErr w:type="gramStart"/>
      <w:r w:rsidR="005E3969" w:rsidRPr="00B46382">
        <w:rPr>
          <w:rFonts w:eastAsia="Times New Roman" w:cs="Arial"/>
          <w:szCs w:val="24"/>
          <w:lang w:eastAsia="en-GB"/>
        </w:rPr>
        <w:t>provision</w:t>
      </w:r>
      <w:proofErr w:type="gramEnd"/>
      <w:r w:rsidR="005E3969" w:rsidRPr="00B46382">
        <w:rPr>
          <w:rFonts w:eastAsia="Times New Roman" w:cs="Arial"/>
          <w:szCs w:val="24"/>
          <w:lang w:eastAsia="en-GB"/>
        </w:rPr>
        <w:t xml:space="preserve"> </w:t>
      </w:r>
      <w:r w:rsidR="004714C6" w:rsidRPr="00B46382">
        <w:rPr>
          <w:rFonts w:eastAsia="Times New Roman" w:cs="Arial"/>
          <w:szCs w:val="24"/>
          <w:lang w:eastAsia="en-GB"/>
        </w:rPr>
        <w:t>and student experience</w:t>
      </w:r>
      <w:r w:rsidR="001742ED" w:rsidRPr="00B46382">
        <w:rPr>
          <w:rFonts w:eastAsia="Times New Roman" w:cs="Arial"/>
          <w:szCs w:val="24"/>
          <w:lang w:eastAsia="en-GB"/>
        </w:rPr>
        <w:t>, particularly with our target groups</w:t>
      </w:r>
      <w:r w:rsidR="002B1BBE" w:rsidRPr="00B46382">
        <w:rPr>
          <w:rFonts w:eastAsia="Times New Roman" w:cs="Arial"/>
          <w:szCs w:val="24"/>
          <w:lang w:eastAsia="en-GB"/>
        </w:rPr>
        <w:t xml:space="preserve">, </w:t>
      </w:r>
      <w:r w:rsidR="006B46B1" w:rsidRPr="00B46382">
        <w:rPr>
          <w:rFonts w:eastAsia="Times New Roman" w:cs="Arial"/>
          <w:szCs w:val="24"/>
          <w:lang w:eastAsia="en-GB"/>
        </w:rPr>
        <w:t>before creating additional</w:t>
      </w:r>
      <w:r w:rsidR="002B1BBE" w:rsidRPr="00B46382">
        <w:rPr>
          <w:rFonts w:eastAsia="Times New Roman" w:cs="Arial"/>
          <w:szCs w:val="24"/>
          <w:lang w:eastAsia="en-GB"/>
        </w:rPr>
        <w:t xml:space="preserve"> </w:t>
      </w:r>
      <w:r w:rsidR="006B46B1" w:rsidRPr="00B46382">
        <w:rPr>
          <w:rFonts w:eastAsia="Times New Roman" w:cs="Arial"/>
          <w:szCs w:val="24"/>
          <w:lang w:eastAsia="en-GB"/>
        </w:rPr>
        <w:t xml:space="preserve">access </w:t>
      </w:r>
      <w:r w:rsidR="002E23BB" w:rsidRPr="00B46382">
        <w:rPr>
          <w:rFonts w:eastAsia="Times New Roman" w:cs="Arial"/>
          <w:szCs w:val="24"/>
          <w:lang w:eastAsia="en-GB"/>
        </w:rPr>
        <w:t>tar</w:t>
      </w:r>
      <w:r w:rsidR="005C1C8F" w:rsidRPr="00B46382">
        <w:rPr>
          <w:rFonts w:eastAsia="Times New Roman" w:cs="Arial"/>
          <w:szCs w:val="24"/>
          <w:lang w:eastAsia="en-GB"/>
        </w:rPr>
        <w:t>gets</w:t>
      </w:r>
      <w:r w:rsidR="002E23BB" w:rsidRPr="00B46382">
        <w:rPr>
          <w:rFonts w:eastAsia="Times New Roman" w:cs="Arial"/>
          <w:szCs w:val="24"/>
          <w:lang w:eastAsia="en-GB"/>
        </w:rPr>
        <w:t>.  Despite this, we expect significant growth</w:t>
      </w:r>
      <w:r w:rsidR="007822C5" w:rsidRPr="00B46382">
        <w:rPr>
          <w:rFonts w:eastAsia="Times New Roman" w:cs="Arial"/>
          <w:szCs w:val="24"/>
          <w:lang w:eastAsia="en-GB"/>
        </w:rPr>
        <w:t xml:space="preserve"> of our HE </w:t>
      </w:r>
      <w:proofErr w:type="gramStart"/>
      <w:r w:rsidR="007822C5" w:rsidRPr="00B46382">
        <w:rPr>
          <w:rFonts w:eastAsia="Times New Roman" w:cs="Arial"/>
          <w:szCs w:val="24"/>
          <w:lang w:eastAsia="en-GB"/>
        </w:rPr>
        <w:t>provision</w:t>
      </w:r>
      <w:proofErr w:type="gramEnd"/>
      <w:r w:rsidR="007822C5" w:rsidRPr="00B46382">
        <w:rPr>
          <w:rFonts w:eastAsia="Times New Roman" w:cs="Arial"/>
          <w:szCs w:val="24"/>
          <w:lang w:eastAsia="en-GB"/>
        </w:rPr>
        <w:t xml:space="preserve"> over the next 4 years with the</w:t>
      </w:r>
      <w:r w:rsidR="00200979" w:rsidRPr="00B46382">
        <w:rPr>
          <w:rFonts w:eastAsia="Times New Roman" w:cs="Arial"/>
          <w:szCs w:val="24"/>
          <w:lang w:eastAsia="en-GB"/>
        </w:rPr>
        <w:t xml:space="preserve"> commencement of a number of new HTQs</w:t>
      </w:r>
      <w:r w:rsidR="00B7268D" w:rsidRPr="00B46382">
        <w:rPr>
          <w:rFonts w:eastAsia="Times New Roman" w:cs="Arial"/>
          <w:szCs w:val="24"/>
          <w:lang w:eastAsia="en-GB"/>
        </w:rPr>
        <w:t>. This will naturally offer a greater choice of course and</w:t>
      </w:r>
      <w:r w:rsidR="005E26ED" w:rsidRPr="00B46382">
        <w:rPr>
          <w:rFonts w:eastAsia="Times New Roman" w:cs="Arial"/>
          <w:szCs w:val="24"/>
          <w:lang w:eastAsia="en-GB"/>
        </w:rPr>
        <w:t xml:space="preserve"> mode of delivery (risk 5)</w:t>
      </w:r>
      <w:r w:rsidR="00A42B25">
        <w:rPr>
          <w:rFonts w:eastAsia="Times New Roman" w:cs="Arial"/>
          <w:szCs w:val="24"/>
          <w:lang w:eastAsia="en-GB"/>
        </w:rPr>
        <w:t>.</w:t>
      </w:r>
    </w:p>
    <w:p w14:paraId="6372037A" w14:textId="77777777" w:rsidR="00A673F2" w:rsidRPr="00B46382" w:rsidRDefault="00A673F2" w:rsidP="004D5E82">
      <w:pPr>
        <w:pStyle w:val="Heading2"/>
      </w:pPr>
    </w:p>
    <w:p w14:paraId="266A1E70" w14:textId="26E773BC" w:rsidR="006355F5" w:rsidRPr="00B46382" w:rsidRDefault="004D5E82" w:rsidP="004D5E82">
      <w:pPr>
        <w:pStyle w:val="Heading2"/>
      </w:pPr>
      <w:r>
        <w:t xml:space="preserve">4. </w:t>
      </w:r>
      <w:r w:rsidR="00E26FEE" w:rsidRPr="00B46382">
        <w:t>Intervention strategies and Expected Outcomes</w:t>
      </w:r>
    </w:p>
    <w:p w14:paraId="6DA2067F" w14:textId="2DC895D3" w:rsidR="002352EA" w:rsidRPr="00F77E5C" w:rsidRDefault="009C674D" w:rsidP="000D238E">
      <w:pPr>
        <w:pStyle w:val="NormalWeb"/>
        <w:spacing w:before="0" w:beforeAutospacing="0" w:after="300" w:afterAutospacing="0"/>
        <w:rPr>
          <w:rFonts w:ascii="Arial" w:hAnsi="Arial" w:cs="Arial"/>
        </w:rPr>
      </w:pPr>
      <w:r w:rsidRPr="00F77E5C">
        <w:rPr>
          <w:rFonts w:ascii="Arial" w:hAnsi="Arial" w:cs="Arial"/>
        </w:rPr>
        <w:t xml:space="preserve">In this section, we outline our intervention strategies which summarise the programmes of work we will deliver to address our identified risks to equality of opportunity and achieve our objectives listed in Section 3. </w:t>
      </w:r>
      <w:r w:rsidR="00807CB6" w:rsidRPr="00F77E5C">
        <w:rPr>
          <w:rFonts w:ascii="Arial" w:hAnsi="Arial" w:cs="Arial"/>
        </w:rPr>
        <w:t xml:space="preserve">Please note the order in which the Intervention </w:t>
      </w:r>
      <w:r w:rsidR="00EE24CE" w:rsidRPr="00F77E5C">
        <w:rPr>
          <w:rFonts w:ascii="Arial" w:hAnsi="Arial" w:cs="Arial"/>
        </w:rPr>
        <w:t>S</w:t>
      </w:r>
      <w:r w:rsidR="00807CB6" w:rsidRPr="00F77E5C">
        <w:rPr>
          <w:rFonts w:ascii="Arial" w:hAnsi="Arial" w:cs="Arial"/>
        </w:rPr>
        <w:t>trategies are documented does not re</w:t>
      </w:r>
      <w:r w:rsidR="00BA3B2A" w:rsidRPr="00F77E5C">
        <w:rPr>
          <w:rFonts w:ascii="Arial" w:hAnsi="Arial" w:cs="Arial"/>
        </w:rPr>
        <w:t>flect any hierarchy of importance</w:t>
      </w:r>
      <w:r w:rsidR="0055724C" w:rsidRPr="00F77E5C">
        <w:rPr>
          <w:rFonts w:ascii="Arial" w:hAnsi="Arial" w:cs="Arial"/>
        </w:rPr>
        <w:t xml:space="preserve">. </w:t>
      </w:r>
    </w:p>
    <w:p w14:paraId="2E576174" w14:textId="29AA2556" w:rsidR="00F77E5C" w:rsidRPr="00F77E5C" w:rsidRDefault="00F77E5C" w:rsidP="00F77E5C">
      <w:pPr>
        <w:pStyle w:val="Heading3"/>
      </w:pPr>
      <w:r>
        <w:t xml:space="preserve">4.1 </w:t>
      </w:r>
      <w:r w:rsidRPr="00F77E5C">
        <w:t xml:space="preserve">Intervention Strategy 1 (IS1): </w:t>
      </w:r>
    </w:p>
    <w:p w14:paraId="69427216" w14:textId="36976A12" w:rsidR="00F77E5C" w:rsidRPr="00F77E5C" w:rsidRDefault="00F77E5C" w:rsidP="00F77E5C">
      <w:r w:rsidRPr="00F77E5C">
        <w:t>Objectives and targets: to reduce the achievement gap between students from deprived socio-economic backgrounds (IMD Q1-2) and more affluent socio-economic backgrounds (IMD 3-10) from 18.85% in 2022/23 to 6% in 2028/29 (Target_PTS_1).</w:t>
      </w:r>
    </w:p>
    <w:p w14:paraId="7A73F37E" w14:textId="77777777" w:rsidR="00F77E5C" w:rsidRPr="00F77E5C" w:rsidRDefault="00F77E5C" w:rsidP="00F77E5C">
      <w:r w:rsidRPr="00F77E5C">
        <w:t>Secondary Objective(s): PTS_2 (IS 2)</w:t>
      </w:r>
    </w:p>
    <w:p w14:paraId="4D512E38" w14:textId="77777777" w:rsidR="00F77E5C" w:rsidRPr="00F77E5C" w:rsidRDefault="00F77E5C" w:rsidP="00F77E5C">
      <w:pPr>
        <w:rPr>
          <w:bCs/>
        </w:rPr>
      </w:pPr>
      <w:r w:rsidRPr="00F77E5C">
        <w:t xml:space="preserve">Risks to equality of opportunity: </w:t>
      </w:r>
      <w:r w:rsidRPr="00F77E5C">
        <w:rPr>
          <w:bCs/>
        </w:rPr>
        <w:t>1. Knowledge and Skills, 2. Information and Guidance, 3. Perception of HE, 5. Limited choice of course type and delivery mode 7. Insufficient Academic Support, 8. Mental Health, 10. Cost Pressures</w:t>
      </w:r>
    </w:p>
    <w:p w14:paraId="2990203D" w14:textId="77777777" w:rsidR="00A42B25" w:rsidRPr="00A42B25" w:rsidRDefault="00A42B25" w:rsidP="00A42B25">
      <w:pPr>
        <w:pStyle w:val="Heading4"/>
      </w:pPr>
      <w:r w:rsidRPr="00A42B25">
        <w:t>4.1.1 IS1.1 Assigned Preparation for Adulthood Coach (</w:t>
      </w:r>
      <w:proofErr w:type="spellStart"/>
      <w:r w:rsidRPr="00A42B25">
        <w:t>PfAC</w:t>
      </w:r>
      <w:proofErr w:type="spellEnd"/>
      <w:r w:rsidRPr="00A42B25">
        <w:t>) to support DSA applications and monitoring of DSA funded interventions for HE students</w:t>
      </w:r>
    </w:p>
    <w:p w14:paraId="4A8661B6" w14:textId="77777777" w:rsidR="00A42B25" w:rsidRPr="00A42B25" w:rsidRDefault="00A42B25" w:rsidP="00A42B25">
      <w:r w:rsidRPr="00A42B25">
        <w:rPr>
          <w:lang w:eastAsia="en-GB"/>
        </w:rPr>
        <w:t>Activity:</w:t>
      </w:r>
      <w:r>
        <w:rPr>
          <w:color w:val="FF0000"/>
        </w:rPr>
        <w:t xml:space="preserve"> </w:t>
      </w:r>
      <w:r w:rsidRPr="00B46382">
        <w:rPr>
          <w:lang w:eastAsia="en-GB"/>
        </w:rPr>
        <w:t xml:space="preserve">At HE Student Inductions, our </w:t>
      </w:r>
      <w:proofErr w:type="spellStart"/>
      <w:r w:rsidRPr="00B46382">
        <w:rPr>
          <w:lang w:eastAsia="en-GB"/>
        </w:rPr>
        <w:t>PfAC</w:t>
      </w:r>
      <w:proofErr w:type="spellEnd"/>
      <w:r w:rsidRPr="00B46382">
        <w:rPr>
          <w:lang w:eastAsia="en-GB"/>
        </w:rPr>
        <w:t xml:space="preserve"> will review the Disability Support Allowance (DSA) process /increase awareness to encourage all eligible learners to apply for DSA. Communication will continue throughout the course to ensure that we are</w:t>
      </w:r>
      <w:r w:rsidRPr="00B46382">
        <w:t xml:space="preserve"> supporting </w:t>
      </w:r>
      <w:r w:rsidRPr="00B46382">
        <w:rPr>
          <w:lang w:eastAsia="en-GB"/>
        </w:rPr>
        <w:t xml:space="preserve">students in receipt of DSA (i.e. </w:t>
      </w:r>
      <w:r w:rsidRPr="00B46382">
        <w:t xml:space="preserve">SEND needs, including Mental Health problems) effectively so they can fully engage and succeed </w:t>
      </w:r>
      <w:r w:rsidRPr="00A42B25">
        <w:rPr>
          <w:bCs/>
        </w:rPr>
        <w:t>(</w:t>
      </w:r>
      <w:r w:rsidRPr="00A42B25">
        <w:rPr>
          <w:bCs/>
          <w:lang w:eastAsia="en-GB"/>
        </w:rPr>
        <w:t>New Activity).</w:t>
      </w:r>
    </w:p>
    <w:p w14:paraId="6EF6BAA3" w14:textId="08D2F5FE" w:rsidR="00A42B25" w:rsidRDefault="00A42B25" w:rsidP="00A42B25">
      <w:pPr>
        <w:rPr>
          <w:lang w:eastAsia="en-GB"/>
        </w:rPr>
      </w:pPr>
      <w:r w:rsidRPr="00A42B25">
        <w:rPr>
          <w:lang w:eastAsia="en-GB"/>
        </w:rPr>
        <w:t xml:space="preserve">Inputs: </w:t>
      </w:r>
      <w:r w:rsidRPr="00B46382">
        <w:rPr>
          <w:lang w:eastAsia="en-GB"/>
        </w:rPr>
        <w:t xml:space="preserve">Staff time: </w:t>
      </w:r>
      <w:proofErr w:type="spellStart"/>
      <w:r w:rsidRPr="00B46382">
        <w:rPr>
          <w:lang w:eastAsia="en-GB"/>
        </w:rPr>
        <w:t>PfAC</w:t>
      </w:r>
      <w:proofErr w:type="spellEnd"/>
      <w:r>
        <w:rPr>
          <w:lang w:eastAsia="en-GB"/>
        </w:rPr>
        <w:t xml:space="preserve"> </w:t>
      </w:r>
      <w:r w:rsidRPr="00B46382">
        <w:rPr>
          <w:lang w:eastAsia="en-GB"/>
        </w:rPr>
        <w:t xml:space="preserve">Creation/development of resources/1:1 support and workshop/curriculum </w:t>
      </w:r>
      <w:r w:rsidRPr="00B46382">
        <w:rPr>
          <w:lang w:eastAsia="en-GB"/>
        </w:rPr>
        <w:t>tutorial presentations</w:t>
      </w:r>
      <w:r w:rsidRPr="00B46382">
        <w:rPr>
          <w:lang w:eastAsia="en-GB"/>
        </w:rPr>
        <w:t xml:space="preserve"> and activity evaluation time.</w:t>
      </w:r>
    </w:p>
    <w:p w14:paraId="7B279F1A" w14:textId="7275D4BF" w:rsidR="00A42B25" w:rsidRDefault="00A42B25" w:rsidP="00A42B25">
      <w:r>
        <w:rPr>
          <w:lang w:eastAsia="en-GB"/>
        </w:rPr>
        <w:t xml:space="preserve">Outcomes: </w:t>
      </w:r>
      <w:r w:rsidRPr="00B46382">
        <w:t>Improved communication and engagement with support services</w:t>
      </w:r>
      <w:r>
        <w:t xml:space="preserve">, </w:t>
      </w:r>
      <w:r w:rsidRPr="00B46382">
        <w:t>Improved student completion</w:t>
      </w:r>
      <w:r>
        <w:t xml:space="preserve">, </w:t>
      </w:r>
      <w:r w:rsidRPr="00B46382">
        <w:t>Increase in DSA applications (and early applications)</w:t>
      </w:r>
    </w:p>
    <w:p w14:paraId="297A4B7A" w14:textId="6886F1CB" w:rsidR="00A42B25" w:rsidRDefault="00A42B25" w:rsidP="00A42B25">
      <w:pPr>
        <w:rPr>
          <w:color w:val="000000" w:themeColor="text1"/>
        </w:rPr>
      </w:pPr>
      <w:r w:rsidRPr="00A42B25">
        <w:t xml:space="preserve">Cross Intervention: </w:t>
      </w:r>
      <w:r w:rsidRPr="00A42B25">
        <w:t>IS2</w:t>
      </w:r>
      <w:r w:rsidRPr="00A42B25">
        <w:t xml:space="preserve"> </w:t>
      </w:r>
      <w:r w:rsidRPr="00A42B25">
        <w:t>(This activity links</w:t>
      </w:r>
      <w:r w:rsidRPr="00B46382">
        <w:rPr>
          <w:color w:val="000000" w:themeColor="text1"/>
        </w:rPr>
        <w:t xml:space="preserve"> directly to EORR Risks: 1, 2, 8, 10) </w:t>
      </w:r>
    </w:p>
    <w:p w14:paraId="1BF6DA28" w14:textId="681BE91A" w:rsidR="00A42B25" w:rsidRDefault="00A42B25" w:rsidP="00A42B25">
      <w:pPr>
        <w:pStyle w:val="NormalWeb"/>
        <w:spacing w:before="0" w:beforeAutospacing="0" w:after="300" w:afterAutospacing="0"/>
        <w:rPr>
          <w:rFonts w:ascii="Arial" w:hAnsi="Arial" w:cs="Arial"/>
          <w:color w:val="000000" w:themeColor="text1"/>
        </w:rPr>
      </w:pPr>
    </w:p>
    <w:p w14:paraId="475C93DF" w14:textId="45A1AA5A" w:rsidR="00A42B25" w:rsidRPr="00B46382" w:rsidRDefault="00A42B25" w:rsidP="00A42B25">
      <w:pPr>
        <w:pStyle w:val="Heading4"/>
        <w:rPr>
          <w:rFonts w:eastAsia="Times New Roman"/>
          <w:b w:val="0"/>
          <w:lang w:eastAsia="en-GB"/>
        </w:rPr>
      </w:pPr>
      <w:r>
        <w:rPr>
          <w:color w:val="000000" w:themeColor="text1"/>
        </w:rPr>
        <w:t xml:space="preserve">4.1.2 </w:t>
      </w:r>
      <w:r w:rsidRPr="00B46382">
        <w:rPr>
          <w:rFonts w:eastAsia="Times New Roman"/>
          <w:b w:val="0"/>
          <w:lang w:eastAsia="en-GB"/>
        </w:rPr>
        <w:t>IS1.2 Learning Resource Centre (LRC) link assigned to support HE provisions</w:t>
      </w:r>
    </w:p>
    <w:p w14:paraId="70E38F36" w14:textId="77777777" w:rsidR="00A42B25" w:rsidRPr="00B46382" w:rsidRDefault="00A42B25" w:rsidP="00A42B25">
      <w:r>
        <w:rPr>
          <w:color w:val="000000" w:themeColor="text1"/>
        </w:rPr>
        <w:t xml:space="preserve">Activity: </w:t>
      </w:r>
      <w:r w:rsidRPr="00B46382">
        <w:t xml:space="preserve">During Student Induction or as a refresher for HE returning year 2 students, academic support will be provided by </w:t>
      </w:r>
      <w:proofErr w:type="gramStart"/>
      <w:r w:rsidRPr="00B46382">
        <w:t>a</w:t>
      </w:r>
      <w:proofErr w:type="gramEnd"/>
      <w:r w:rsidRPr="00B46382">
        <w:t xml:space="preserve"> LRC HE link librarian. This will be as planned group workshops and also on an </w:t>
      </w:r>
      <w:proofErr w:type="spellStart"/>
      <w:r w:rsidRPr="00B46382">
        <w:t>adhoc</w:t>
      </w:r>
      <w:proofErr w:type="spellEnd"/>
      <w:r w:rsidRPr="00B46382">
        <w:t xml:space="preserve"> basis as required by individual students throughout the academic year. </w:t>
      </w:r>
    </w:p>
    <w:p w14:paraId="64FA08B8" w14:textId="672D6FA8" w:rsidR="00A42B25" w:rsidRDefault="00A42B25" w:rsidP="00A42B25">
      <w:pPr>
        <w:rPr>
          <w:rFonts w:eastAsia="Times New Roman"/>
          <w:bCs/>
          <w:lang w:eastAsia="en-GB"/>
        </w:rPr>
      </w:pPr>
      <w:r w:rsidRPr="00B46382">
        <w:lastRenderedPageBreak/>
        <w:t xml:space="preserve">Topics include (academic integrity - referencing/plagiarism/paraphrasing) and ethical and responsible use of Artificial Intelligence </w:t>
      </w:r>
      <w:r w:rsidRPr="00A42B25">
        <w:rPr>
          <w:rFonts w:eastAsia="Times New Roman"/>
          <w:bCs/>
          <w:lang w:eastAsia="en-GB"/>
        </w:rPr>
        <w:t>(Enhanced Existing Activity).</w:t>
      </w:r>
    </w:p>
    <w:p w14:paraId="3AB4953D" w14:textId="26A23086" w:rsidR="00A42B25" w:rsidRDefault="00A42B25" w:rsidP="00A42B25">
      <w:pPr>
        <w:rPr>
          <w:color w:val="000000" w:themeColor="text1"/>
        </w:rPr>
      </w:pPr>
      <w:r>
        <w:rPr>
          <w:bCs/>
        </w:rPr>
        <w:t>Inputs:</w:t>
      </w:r>
      <w:r w:rsidRPr="00A42B25">
        <w:rPr>
          <w:rFonts w:eastAsia="Times New Roman"/>
          <w:lang w:eastAsia="en-GB"/>
        </w:rPr>
        <w:t xml:space="preserve"> </w:t>
      </w:r>
      <w:r w:rsidRPr="00B46382">
        <w:rPr>
          <w:rFonts w:eastAsia="Times New Roman"/>
          <w:lang w:eastAsia="en-GB"/>
        </w:rPr>
        <w:t>Staff time:</w:t>
      </w:r>
      <w:r>
        <w:rPr>
          <w:rFonts w:eastAsia="Times New Roman"/>
          <w:lang w:eastAsia="en-GB"/>
        </w:rPr>
        <w:t xml:space="preserve"> </w:t>
      </w:r>
      <w:r w:rsidRPr="00B46382">
        <w:rPr>
          <w:rFonts w:eastAsia="Times New Roman"/>
          <w:lang w:eastAsia="en-GB"/>
        </w:rPr>
        <w:t>Librarian and Learning Resource Centre staff (co-teaching/training)</w:t>
      </w:r>
      <w:r>
        <w:rPr>
          <w:rFonts w:eastAsia="Times New Roman"/>
          <w:lang w:eastAsia="en-GB"/>
        </w:rPr>
        <w:t xml:space="preserve">, </w:t>
      </w:r>
      <w:r w:rsidRPr="00B46382">
        <w:rPr>
          <w:rFonts w:eastAsia="Times New Roman"/>
          <w:lang w:eastAsia="en-GB"/>
        </w:rPr>
        <w:t>Digital Manager/Personal Development Tutors (PDTs)</w:t>
      </w:r>
      <w:r>
        <w:rPr>
          <w:rFonts w:eastAsia="Times New Roman"/>
          <w:lang w:eastAsia="en-GB"/>
        </w:rPr>
        <w:t xml:space="preserve"> and </w:t>
      </w:r>
      <w:r w:rsidRPr="00B46382">
        <w:rPr>
          <w:rFonts w:eastAsia="Times New Roman"/>
          <w:lang w:eastAsia="en-GB"/>
        </w:rPr>
        <w:t>Evaluation time.</w:t>
      </w:r>
      <w:r w:rsidRPr="00B46382">
        <w:rPr>
          <w:color w:val="000000" w:themeColor="text1"/>
        </w:rPr>
        <w:t xml:space="preserve"> </w:t>
      </w:r>
    </w:p>
    <w:p w14:paraId="30B92EF6" w14:textId="7C550B63" w:rsidR="00A42B25" w:rsidRPr="00B46382" w:rsidRDefault="00A42B25" w:rsidP="00A42B25">
      <w:pPr>
        <w:rPr>
          <w:rFonts w:eastAsia="Times New Roman"/>
          <w:lang w:eastAsia="en-GB"/>
        </w:rPr>
      </w:pPr>
      <w:r>
        <w:rPr>
          <w:rFonts w:eastAsia="Times New Roman"/>
          <w:lang w:eastAsia="en-GB"/>
        </w:rPr>
        <w:t xml:space="preserve">Outcomes: </w:t>
      </w:r>
      <w:r w:rsidRPr="00B46382">
        <w:rPr>
          <w:rFonts w:eastAsia="Times New Roman"/>
          <w:lang w:eastAsia="en-GB"/>
        </w:rPr>
        <w:t>Improved academic skills and confidence</w:t>
      </w:r>
      <w:r>
        <w:rPr>
          <w:rFonts w:eastAsia="Times New Roman"/>
          <w:lang w:eastAsia="en-GB"/>
        </w:rPr>
        <w:t xml:space="preserve">, </w:t>
      </w:r>
      <w:r w:rsidRPr="00B46382">
        <w:rPr>
          <w:rFonts w:eastAsia="Times New Roman"/>
          <w:lang w:eastAsia="en-GB"/>
        </w:rPr>
        <w:t xml:space="preserve">Improved student completion </w:t>
      </w:r>
    </w:p>
    <w:p w14:paraId="7CCEF2F4" w14:textId="73E9DDAF" w:rsidR="00A42B25" w:rsidRPr="00A42B25" w:rsidRDefault="00A42B25" w:rsidP="00A42B25">
      <w:pPr>
        <w:rPr>
          <w:rFonts w:eastAsia="Times New Roman"/>
          <w:lang w:eastAsia="en-GB"/>
        </w:rPr>
      </w:pPr>
      <w:r>
        <w:rPr>
          <w:rFonts w:eastAsia="Times New Roman"/>
          <w:lang w:eastAsia="en-GB"/>
        </w:rPr>
        <w:t xml:space="preserve">Cross Intervention: </w:t>
      </w:r>
      <w:r w:rsidRPr="00B46382">
        <w:rPr>
          <w:rFonts w:eastAsia="Times New Roman"/>
          <w:lang w:eastAsia="en-GB"/>
        </w:rPr>
        <w:t>IS2</w:t>
      </w:r>
      <w:r>
        <w:rPr>
          <w:rFonts w:eastAsia="Times New Roman"/>
          <w:lang w:eastAsia="en-GB"/>
        </w:rPr>
        <w:t xml:space="preserve"> </w:t>
      </w:r>
      <w:r w:rsidRPr="00B46382">
        <w:t xml:space="preserve">(This activity links directly to EORR Risks: 1, 7, 10) </w:t>
      </w:r>
    </w:p>
    <w:p w14:paraId="372C4EEF" w14:textId="3ACC2146" w:rsidR="00A42B25" w:rsidRPr="00B46382" w:rsidRDefault="00A42B25" w:rsidP="00A42B25">
      <w:pPr>
        <w:spacing w:after="0" w:line="240" w:lineRule="auto"/>
        <w:textAlignment w:val="baseline"/>
        <w:rPr>
          <w:rFonts w:eastAsia="Times New Roman" w:cs="Arial"/>
          <w:szCs w:val="24"/>
          <w:lang w:eastAsia="en-GB"/>
        </w:rPr>
      </w:pPr>
    </w:p>
    <w:p w14:paraId="7EBC9EE8" w14:textId="77777777" w:rsidR="00562D08" w:rsidRPr="00B46382" w:rsidRDefault="00562D08" w:rsidP="00562D08">
      <w:pPr>
        <w:pStyle w:val="Heading4"/>
        <w:rPr>
          <w:rFonts w:eastAsia="Times New Roman"/>
          <w:b w:val="0"/>
          <w:lang w:eastAsia="en-GB"/>
        </w:rPr>
      </w:pPr>
      <w:r>
        <w:t xml:space="preserve">4.1.3 </w:t>
      </w:r>
      <w:r w:rsidRPr="00B46382">
        <w:rPr>
          <w:rFonts w:eastAsia="Times New Roman"/>
          <w:b w:val="0"/>
          <w:lang w:eastAsia="en-GB"/>
        </w:rPr>
        <w:t>IS1.3 Engagement and Achievement Analytics</w:t>
      </w:r>
    </w:p>
    <w:p w14:paraId="42A63EC6" w14:textId="77777777" w:rsidR="00562D08" w:rsidRPr="00B46382" w:rsidRDefault="00562D08" w:rsidP="00562D08">
      <w:pPr>
        <w:rPr>
          <w:lang w:eastAsia="en-GB"/>
        </w:rPr>
      </w:pPr>
      <w:r>
        <w:rPr>
          <w:bCs/>
        </w:rPr>
        <w:t xml:space="preserve">Activity: </w:t>
      </w:r>
      <w:r w:rsidRPr="00B46382">
        <w:rPr>
          <w:lang w:eastAsia="en-GB"/>
        </w:rPr>
        <w:t>Update Management Information Systems (MIS) to facilitate the inclusion of HE data on the college data dashboard (e.g. attendance/achievement/progress) and also include an EDI component (i.e. disadvantaged postcodes/Free School Meals/URGs). </w:t>
      </w:r>
    </w:p>
    <w:p w14:paraId="6D07CF43" w14:textId="374FB6D4" w:rsidR="00562D08" w:rsidRPr="00562D08" w:rsidRDefault="00562D08" w:rsidP="00562D08">
      <w:pPr>
        <w:rPr>
          <w:lang w:eastAsia="en-GB"/>
        </w:rPr>
      </w:pPr>
      <w:r w:rsidRPr="00B46382">
        <w:rPr>
          <w:lang w:eastAsia="en-GB"/>
        </w:rPr>
        <w:t>Pre-PMR Meetings with CAMs and Quality Director/Quality Programme Leads will take place to support preparation for PMRs will include narrative around HE achievement data/predicted outcomes (and disaggregated data: e.g. FSM/URGs) prompted by developed dashboard. </w:t>
      </w:r>
    </w:p>
    <w:p w14:paraId="2B55ED40" w14:textId="4F72AD07" w:rsidR="00562D08" w:rsidRPr="00562D08" w:rsidRDefault="00562D08" w:rsidP="00562D08">
      <w:pPr>
        <w:rPr>
          <w:lang w:eastAsia="en-GB"/>
        </w:rPr>
      </w:pPr>
      <w:r w:rsidRPr="00B46382">
        <w:rPr>
          <w:lang w:eastAsia="en-GB"/>
        </w:rPr>
        <w:t>Performance Management Review (PMR) meetings with Curriculum Area Managers (CAMs) and Executive Leadership Team (ELT), will include narrative around HE achievement data/predicted outcomes (and disaggregated data: e.g. FSM/URGs). </w:t>
      </w:r>
    </w:p>
    <w:p w14:paraId="0B34C22B" w14:textId="6F06DF4A" w:rsidR="00562D08" w:rsidRPr="00562D08" w:rsidRDefault="00562D08" w:rsidP="00562D08">
      <w:pPr>
        <w:rPr>
          <w:lang w:eastAsia="en-GB"/>
        </w:rPr>
      </w:pPr>
      <w:r w:rsidRPr="00B46382">
        <w:rPr>
          <w:lang w:eastAsia="en-GB"/>
        </w:rPr>
        <w:t xml:space="preserve">Standardisation of </w:t>
      </w:r>
      <w:proofErr w:type="spellStart"/>
      <w:r w:rsidRPr="00B46382">
        <w:rPr>
          <w:lang w:eastAsia="en-GB"/>
        </w:rPr>
        <w:t>Markbook</w:t>
      </w:r>
      <w:proofErr w:type="spellEnd"/>
      <w:r w:rsidRPr="00B46382">
        <w:rPr>
          <w:lang w:eastAsia="en-GB"/>
        </w:rPr>
        <w:t xml:space="preserve"> platform use in all HE areas to ensure centralised monitoring system of HE achievement /progress data.  </w:t>
      </w:r>
    </w:p>
    <w:p w14:paraId="552160B0" w14:textId="75B1180F" w:rsidR="00A42B25" w:rsidRDefault="00562D08" w:rsidP="00562D08">
      <w:pPr>
        <w:rPr>
          <w:lang w:eastAsia="en-GB"/>
        </w:rPr>
      </w:pPr>
      <w:r w:rsidRPr="00B46382">
        <w:rPr>
          <w:b/>
          <w:bCs/>
          <w:lang w:eastAsia="en-GB"/>
        </w:rPr>
        <w:t>(Enhanced Activity)  </w:t>
      </w:r>
      <w:r w:rsidRPr="00B46382">
        <w:rPr>
          <w:lang w:eastAsia="en-GB"/>
        </w:rPr>
        <w:t> </w:t>
      </w:r>
    </w:p>
    <w:p w14:paraId="25F4F328" w14:textId="735D4177" w:rsidR="00562D08" w:rsidRPr="00562D08" w:rsidRDefault="00562D08" w:rsidP="00562D08">
      <w:pPr>
        <w:rPr>
          <w:rFonts w:eastAsia="Times New Roman" w:cs="Arial"/>
          <w:szCs w:val="24"/>
          <w:lang w:eastAsia="en-GB"/>
        </w:rPr>
      </w:pPr>
      <w:r>
        <w:rPr>
          <w:bCs/>
        </w:rPr>
        <w:t xml:space="preserve">Inputs: </w:t>
      </w:r>
      <w:r w:rsidRPr="00B46382">
        <w:rPr>
          <w:rFonts w:eastAsia="Times New Roman" w:cs="Arial"/>
          <w:szCs w:val="24"/>
          <w:lang w:eastAsia="en-GB"/>
        </w:rPr>
        <w:t>Staff Time: Development: Management Information Systems (MIS) team</w:t>
      </w:r>
      <w:r>
        <w:rPr>
          <w:rFonts w:eastAsia="Times New Roman" w:cs="Arial"/>
          <w:szCs w:val="24"/>
          <w:lang w:eastAsia="en-GB"/>
        </w:rPr>
        <w:t xml:space="preserve">, </w:t>
      </w:r>
      <w:r w:rsidRPr="00B46382">
        <w:rPr>
          <w:rFonts w:eastAsia="Times New Roman" w:cs="Arial"/>
          <w:szCs w:val="24"/>
          <w:lang w:eastAsia="en-GB"/>
        </w:rPr>
        <w:t>CAMs, HE Quality Manager, Director of Quality, Executive and Senior Leaderships Teams</w:t>
      </w:r>
      <w:r>
        <w:rPr>
          <w:rFonts w:eastAsia="Times New Roman" w:cs="Arial"/>
          <w:szCs w:val="24"/>
          <w:lang w:eastAsia="en-GB"/>
        </w:rPr>
        <w:t xml:space="preserve">. </w:t>
      </w:r>
      <w:r w:rsidRPr="00B46382">
        <w:rPr>
          <w:rFonts w:eastAsia="Times New Roman" w:cs="Arial"/>
          <w:szCs w:val="24"/>
          <w:lang w:eastAsia="en-GB"/>
        </w:rPr>
        <w:t>Staff training/support time with Programme Quality Leads (</w:t>
      </w:r>
      <w:proofErr w:type="spellStart"/>
      <w:r w:rsidRPr="00B46382">
        <w:rPr>
          <w:rFonts w:eastAsia="Times New Roman" w:cs="Arial"/>
          <w:szCs w:val="24"/>
          <w:lang w:eastAsia="en-GB"/>
        </w:rPr>
        <w:t>Markbook</w:t>
      </w:r>
      <w:proofErr w:type="spellEnd"/>
      <w:r w:rsidRPr="00B46382">
        <w:rPr>
          <w:rFonts w:eastAsia="Times New Roman" w:cs="Arial"/>
          <w:szCs w:val="24"/>
          <w:lang w:eastAsia="en-GB"/>
        </w:rPr>
        <w:t>)</w:t>
      </w:r>
    </w:p>
    <w:p w14:paraId="316BA2E3" w14:textId="3CDED721" w:rsidR="00562D08" w:rsidRPr="00B46382" w:rsidRDefault="00562D08" w:rsidP="00562D08">
      <w:pPr>
        <w:rPr>
          <w:rFonts w:cs="Arial"/>
          <w:szCs w:val="24"/>
        </w:rPr>
      </w:pPr>
      <w:r>
        <w:rPr>
          <w:bCs/>
        </w:rPr>
        <w:t xml:space="preserve">Outcomes: </w:t>
      </w:r>
      <w:r w:rsidRPr="00B46382">
        <w:rPr>
          <w:rFonts w:cs="Arial"/>
          <w:szCs w:val="24"/>
        </w:rPr>
        <w:t>Increased awareness of assignment progress/attendance for all HE students (including targeted groups</w:t>
      </w:r>
      <w:r w:rsidRPr="00B46382">
        <w:rPr>
          <w:rFonts w:cs="Arial"/>
          <w:szCs w:val="24"/>
        </w:rPr>
        <w:t>). Improved</w:t>
      </w:r>
      <w:r w:rsidRPr="00B46382">
        <w:rPr>
          <w:rFonts w:cs="Arial"/>
          <w:szCs w:val="24"/>
        </w:rPr>
        <w:t xml:space="preserve"> forecasting of achievement data.</w:t>
      </w:r>
      <w:r>
        <w:rPr>
          <w:rFonts w:cs="Arial"/>
          <w:szCs w:val="24"/>
        </w:rPr>
        <w:t xml:space="preserve"> </w:t>
      </w:r>
      <w:r w:rsidRPr="00B46382">
        <w:rPr>
          <w:rFonts w:cs="Arial"/>
          <w:szCs w:val="24"/>
        </w:rPr>
        <w:t>Timelier</w:t>
      </w:r>
      <w:r w:rsidRPr="00B46382">
        <w:rPr>
          <w:rFonts w:cs="Arial"/>
          <w:szCs w:val="24"/>
        </w:rPr>
        <w:t xml:space="preserve"> implementation of support/actions</w:t>
      </w:r>
      <w:r>
        <w:rPr>
          <w:rFonts w:cs="Arial"/>
          <w:szCs w:val="24"/>
        </w:rPr>
        <w:t xml:space="preserve">. </w:t>
      </w:r>
      <w:r w:rsidRPr="00B46382">
        <w:rPr>
          <w:rFonts w:cs="Arial"/>
          <w:szCs w:val="24"/>
        </w:rPr>
        <w:t xml:space="preserve">Improved achievement/ attendance/retention </w:t>
      </w:r>
    </w:p>
    <w:p w14:paraId="5504DABB" w14:textId="31C2183D" w:rsidR="00562D08" w:rsidRPr="00562D08" w:rsidRDefault="00562D08" w:rsidP="00562D08">
      <w:pPr>
        <w:rPr>
          <w:rFonts w:eastAsia="Times New Roman" w:cs="Arial"/>
          <w:szCs w:val="24"/>
          <w:lang w:eastAsia="en-GB"/>
        </w:rPr>
      </w:pPr>
      <w:r>
        <w:rPr>
          <w:bCs/>
        </w:rPr>
        <w:t xml:space="preserve">Cross Intervention: </w:t>
      </w:r>
      <w:r w:rsidRPr="00B46382">
        <w:rPr>
          <w:rFonts w:eastAsia="Times New Roman" w:cs="Arial"/>
          <w:szCs w:val="24"/>
          <w:lang w:eastAsia="en-GB"/>
        </w:rPr>
        <w:t>IS2</w:t>
      </w:r>
      <w:r>
        <w:rPr>
          <w:rFonts w:eastAsia="Times New Roman" w:cs="Arial"/>
          <w:szCs w:val="24"/>
          <w:lang w:eastAsia="en-GB"/>
        </w:rPr>
        <w:t xml:space="preserve"> </w:t>
      </w:r>
      <w:r w:rsidRPr="00B46382">
        <w:rPr>
          <w:rFonts w:cs="Arial"/>
          <w:szCs w:val="24"/>
        </w:rPr>
        <w:t xml:space="preserve">(This activity links directly to EORR Risks: 2, 7, 8) </w:t>
      </w:r>
    </w:p>
    <w:p w14:paraId="5BEFED12" w14:textId="77777777" w:rsidR="00562D08" w:rsidRPr="00B46382" w:rsidRDefault="00562D08" w:rsidP="00562D08">
      <w:pPr>
        <w:pStyle w:val="Heading4"/>
        <w:rPr>
          <w:rFonts w:eastAsia="Times New Roman"/>
          <w:b w:val="0"/>
          <w:lang w:eastAsia="en-GB"/>
        </w:rPr>
      </w:pPr>
      <w:r>
        <w:t xml:space="preserve">4.1.4 </w:t>
      </w:r>
      <w:r w:rsidRPr="00B46382">
        <w:rPr>
          <w:rFonts w:eastAsia="Times New Roman"/>
          <w:b w:val="0"/>
          <w:lang w:eastAsia="en-GB"/>
        </w:rPr>
        <w:t>IS1.4 Early formative feedback in semester 1</w:t>
      </w:r>
    </w:p>
    <w:p w14:paraId="6CA2C3E3" w14:textId="7C9504E7" w:rsidR="00562D08" w:rsidRPr="00562D08" w:rsidRDefault="00562D08" w:rsidP="00562D08">
      <w:pPr>
        <w:rPr>
          <w:lang w:val="en-US" w:eastAsia="en-GB"/>
        </w:rPr>
      </w:pPr>
      <w:r>
        <w:rPr>
          <w:bCs/>
        </w:rPr>
        <w:t xml:space="preserve">Activity: </w:t>
      </w:r>
      <w:r w:rsidRPr="00B46382">
        <w:rPr>
          <w:lang w:eastAsia="en-GB"/>
        </w:rPr>
        <w:t>Our HE Quality review process involves key activity including l</w:t>
      </w:r>
      <w:r w:rsidRPr="00B46382">
        <w:rPr>
          <w:lang w:val="en-US" w:eastAsia="en-GB"/>
        </w:rPr>
        <w:t>earning walks, student voice and IQA activity.</w:t>
      </w:r>
      <w:r w:rsidRPr="00B46382">
        <w:rPr>
          <w:lang w:eastAsia="en-GB"/>
        </w:rPr>
        <w:t xml:space="preserve"> Key quality assurance themes include: </w:t>
      </w:r>
      <w:r w:rsidRPr="00B46382">
        <w:rPr>
          <w:lang w:val="en-US" w:eastAsia="en-GB"/>
        </w:rPr>
        <w:t xml:space="preserve">Academic Integrity, Academic Writing, Levelness and Criticality that enable judgement against </w:t>
      </w:r>
      <w:proofErr w:type="spellStart"/>
      <w:r w:rsidRPr="00B46382">
        <w:rPr>
          <w:lang w:val="en-US" w:eastAsia="en-GB"/>
        </w:rPr>
        <w:t>OfS</w:t>
      </w:r>
      <w:proofErr w:type="spellEnd"/>
      <w:r w:rsidRPr="00B46382">
        <w:rPr>
          <w:lang w:val="en-US" w:eastAsia="en-GB"/>
        </w:rPr>
        <w:t xml:space="preserve"> Ongoing Conditions of registration (B1 B2 B3 B4 etc.). Sits in line with our new Teaching Excellence Framework (5 pillars of excellence </w:t>
      </w:r>
      <w:proofErr w:type="gramStart"/>
      <w:r w:rsidRPr="00B46382">
        <w:rPr>
          <w:lang w:val="en-US" w:eastAsia="en-GB"/>
        </w:rPr>
        <w:t>includes</w:t>
      </w:r>
      <w:proofErr w:type="gramEnd"/>
      <w:r w:rsidRPr="00B46382">
        <w:rPr>
          <w:lang w:val="en-US" w:eastAsia="en-GB"/>
        </w:rPr>
        <w:t xml:space="preserve"> assessment).</w:t>
      </w:r>
    </w:p>
    <w:p w14:paraId="3B41DBAB" w14:textId="77777777" w:rsidR="00562D08" w:rsidRPr="00B46382" w:rsidRDefault="00562D08" w:rsidP="00562D08">
      <w:pPr>
        <w:rPr>
          <w:lang w:eastAsia="en-GB"/>
        </w:rPr>
      </w:pPr>
      <w:r w:rsidRPr="00B46382">
        <w:rPr>
          <w:lang w:eastAsia="en-GB"/>
        </w:rPr>
        <w:t xml:space="preserve">This pre-existing quality activity is to be developed to ensure that our HE students can benefit from early formative feedback opportunities </w:t>
      </w:r>
      <w:r w:rsidRPr="00B46382">
        <w:rPr>
          <w:b/>
          <w:bCs/>
          <w:lang w:eastAsia="en-GB"/>
        </w:rPr>
        <w:t>(Enhanced Activity).</w:t>
      </w:r>
      <w:r w:rsidRPr="00B46382">
        <w:rPr>
          <w:lang w:eastAsia="en-GB"/>
        </w:rPr>
        <w:t> </w:t>
      </w:r>
    </w:p>
    <w:p w14:paraId="1CA7A193" w14:textId="0EF37FD5" w:rsidR="00562D08" w:rsidRPr="00B46382" w:rsidRDefault="00562D08" w:rsidP="00562D08">
      <w:pPr>
        <w:rPr>
          <w:lang w:eastAsia="en-GB"/>
        </w:rPr>
      </w:pPr>
      <w:r>
        <w:rPr>
          <w:bCs/>
        </w:rPr>
        <w:lastRenderedPageBreak/>
        <w:t>Inputs:</w:t>
      </w:r>
      <w:r w:rsidRPr="00562D08">
        <w:rPr>
          <w:lang w:eastAsia="en-GB"/>
        </w:rPr>
        <w:t xml:space="preserve"> </w:t>
      </w:r>
      <w:r w:rsidRPr="00B46382">
        <w:rPr>
          <w:lang w:eastAsia="en-GB"/>
        </w:rPr>
        <w:t xml:space="preserve">Staff Time: Quality team comprising of Teaching Learning and Digital Leads (TLDLs) and Programme Quality Leads (PQLs) to perform HE quality activity with all HE </w:t>
      </w:r>
      <w:proofErr w:type="gramStart"/>
      <w:r w:rsidRPr="00B46382">
        <w:rPr>
          <w:lang w:eastAsia="en-GB"/>
        </w:rPr>
        <w:t>staff</w:t>
      </w:r>
      <w:proofErr w:type="gramEnd"/>
      <w:r w:rsidRPr="00B46382">
        <w:rPr>
          <w:lang w:eastAsia="en-GB"/>
        </w:rPr>
        <w:t>. Evaluation activity.</w:t>
      </w:r>
      <w:r>
        <w:rPr>
          <w:lang w:eastAsia="en-GB"/>
        </w:rPr>
        <w:t xml:space="preserve"> </w:t>
      </w:r>
      <w:r w:rsidRPr="00B46382">
        <w:rPr>
          <w:lang w:eastAsia="en-GB"/>
        </w:rPr>
        <w:t>CPD activity (as required)   </w:t>
      </w:r>
    </w:p>
    <w:p w14:paraId="43233191" w14:textId="7F416538" w:rsidR="00562D08" w:rsidRPr="00562D08" w:rsidRDefault="00562D08" w:rsidP="00562D08">
      <w:r>
        <w:rPr>
          <w:bCs/>
        </w:rPr>
        <w:t xml:space="preserve">Outcomes: </w:t>
      </w:r>
      <w:r w:rsidRPr="00B46382">
        <w:t>Improved student achievement</w:t>
      </w:r>
      <w:r>
        <w:t xml:space="preserve">. </w:t>
      </w:r>
      <w:r w:rsidRPr="00B46382">
        <w:t xml:space="preserve">Improved first time submission success </w:t>
      </w:r>
    </w:p>
    <w:p w14:paraId="745F1F04" w14:textId="72238A95" w:rsidR="00562D08" w:rsidRPr="00562D08" w:rsidRDefault="00562D08" w:rsidP="00562D08">
      <w:pPr>
        <w:rPr>
          <w:color w:val="000000" w:themeColor="text1"/>
          <w:lang w:eastAsia="en-GB"/>
        </w:rPr>
      </w:pPr>
      <w:r>
        <w:rPr>
          <w:color w:val="333333"/>
        </w:rPr>
        <w:t xml:space="preserve">Cross Intervention: </w:t>
      </w:r>
      <w:r w:rsidRPr="00B46382">
        <w:rPr>
          <w:color w:val="000000" w:themeColor="text1"/>
          <w:lang w:eastAsia="en-GB"/>
        </w:rPr>
        <w:t>IS2</w:t>
      </w:r>
      <w:r>
        <w:rPr>
          <w:color w:val="000000" w:themeColor="text1"/>
          <w:lang w:eastAsia="en-GB"/>
        </w:rPr>
        <w:t xml:space="preserve"> </w:t>
      </w:r>
      <w:r w:rsidRPr="00B46382">
        <w:rPr>
          <w:color w:val="000000" w:themeColor="text1"/>
        </w:rPr>
        <w:t xml:space="preserve">(This activity links directly to EORR Risks: 1, 7) </w:t>
      </w:r>
    </w:p>
    <w:p w14:paraId="00576EB0" w14:textId="43DC2D28" w:rsidR="005475A6" w:rsidRDefault="005475A6" w:rsidP="005475A6">
      <w:pPr>
        <w:pStyle w:val="Heading4"/>
        <w:rPr>
          <w:rFonts w:eastAsia="Times New Roman"/>
          <w:lang w:eastAsia="en-GB"/>
        </w:rPr>
      </w:pPr>
      <w:r>
        <w:rPr>
          <w:color w:val="333333"/>
        </w:rPr>
        <w:t xml:space="preserve">4.1.5 </w:t>
      </w:r>
      <w:r w:rsidRPr="00B46382">
        <w:rPr>
          <w:rFonts w:eastAsia="Times New Roman"/>
          <w:lang w:eastAsia="en-GB"/>
        </w:rPr>
        <w:t>IS1.5 Summer HE Transition Boot Camps/kickstart workshops</w:t>
      </w:r>
    </w:p>
    <w:p w14:paraId="70BD3F9B" w14:textId="7EAA963B" w:rsidR="005475A6" w:rsidRDefault="005475A6" w:rsidP="005475A6">
      <w:pPr>
        <w:rPr>
          <w:lang w:eastAsia="en-GB"/>
        </w:rPr>
      </w:pPr>
      <w:r>
        <w:rPr>
          <w:lang w:eastAsia="en-GB"/>
        </w:rPr>
        <w:t xml:space="preserve">Activity: </w:t>
      </w:r>
      <w:proofErr w:type="gramStart"/>
      <w:r w:rsidRPr="00B46382">
        <w:rPr>
          <w:lang w:eastAsia="en-GB"/>
        </w:rPr>
        <w:t>1-2 day</w:t>
      </w:r>
      <w:proofErr w:type="gramEnd"/>
      <w:r w:rsidRPr="00B46382">
        <w:rPr>
          <w:lang w:eastAsia="en-GB"/>
        </w:rPr>
        <w:t xml:space="preserve"> workshops aiming to bridge academic skills between level 3 and level 4 and support students in realising the expectations of HE, whilst raising confidence </w:t>
      </w:r>
      <w:r w:rsidRPr="00B46382">
        <w:rPr>
          <w:b/>
          <w:bCs/>
          <w:lang w:eastAsia="en-GB"/>
        </w:rPr>
        <w:t xml:space="preserve">(New Activity). </w:t>
      </w:r>
    </w:p>
    <w:p w14:paraId="705D32A9" w14:textId="5DD1181B" w:rsidR="005475A6" w:rsidRPr="005475A6" w:rsidRDefault="005475A6" w:rsidP="005475A6">
      <w:pPr>
        <w:rPr>
          <w:lang w:eastAsia="en-GB"/>
        </w:rPr>
      </w:pPr>
      <w:r>
        <w:rPr>
          <w:lang w:eastAsia="en-GB"/>
        </w:rPr>
        <w:t xml:space="preserve">Inputs: </w:t>
      </w:r>
      <w:r w:rsidRPr="00B46382">
        <w:rPr>
          <w:lang w:eastAsia="en-GB"/>
        </w:rPr>
        <w:t>Staff time: academic staff</w:t>
      </w:r>
      <w:r>
        <w:rPr>
          <w:lang w:eastAsia="en-GB"/>
        </w:rPr>
        <w:t xml:space="preserve">, </w:t>
      </w:r>
      <w:r w:rsidRPr="00B46382">
        <w:rPr>
          <w:lang w:eastAsia="en-GB"/>
        </w:rPr>
        <w:t>Preparation of resources</w:t>
      </w:r>
      <w:r>
        <w:rPr>
          <w:lang w:eastAsia="en-GB"/>
        </w:rPr>
        <w:t xml:space="preserve">, </w:t>
      </w:r>
      <w:r w:rsidRPr="00B46382">
        <w:rPr>
          <w:lang w:eastAsia="en-GB"/>
        </w:rPr>
        <w:t xml:space="preserve">Evaluation activity </w:t>
      </w:r>
    </w:p>
    <w:p w14:paraId="692F7985" w14:textId="3996AD3C" w:rsidR="002352EA" w:rsidRDefault="005475A6" w:rsidP="005475A6">
      <w:r>
        <w:rPr>
          <w:color w:val="333333"/>
        </w:rPr>
        <w:t xml:space="preserve">Outcomes: </w:t>
      </w:r>
      <w:r w:rsidRPr="00B46382">
        <w:t>Increased achievement and retention</w:t>
      </w:r>
    </w:p>
    <w:p w14:paraId="6480A013" w14:textId="0E7F4065" w:rsidR="005475A6" w:rsidRDefault="005475A6" w:rsidP="005475A6">
      <w:pPr>
        <w:spacing w:after="0" w:line="240" w:lineRule="auto"/>
        <w:textAlignment w:val="baseline"/>
        <w:rPr>
          <w:rFonts w:cs="Arial"/>
          <w:color w:val="000000" w:themeColor="text1"/>
          <w:szCs w:val="24"/>
        </w:rPr>
      </w:pPr>
      <w:r>
        <w:rPr>
          <w:color w:val="333333"/>
        </w:rPr>
        <w:t xml:space="preserve">Cross Intervention: </w:t>
      </w:r>
      <w:r w:rsidRPr="00B46382">
        <w:rPr>
          <w:rFonts w:eastAsia="Times New Roman" w:cs="Arial"/>
          <w:color w:val="000000" w:themeColor="text1"/>
          <w:szCs w:val="24"/>
          <w:lang w:eastAsia="en-GB"/>
        </w:rPr>
        <w:t>IS2</w:t>
      </w:r>
      <w:r>
        <w:rPr>
          <w:rFonts w:eastAsia="Times New Roman" w:cs="Arial"/>
          <w:color w:val="000000" w:themeColor="text1"/>
          <w:szCs w:val="24"/>
          <w:lang w:eastAsia="en-GB"/>
        </w:rPr>
        <w:t xml:space="preserve"> </w:t>
      </w:r>
      <w:r w:rsidRPr="00B46382">
        <w:rPr>
          <w:rFonts w:cs="Arial"/>
          <w:color w:val="000000" w:themeColor="text1"/>
          <w:szCs w:val="24"/>
        </w:rPr>
        <w:t>(This activity links directly to EORR Risks: 1, 2, 7)</w:t>
      </w:r>
    </w:p>
    <w:p w14:paraId="42D62826" w14:textId="2CCF2242" w:rsidR="005475A6" w:rsidRDefault="005475A6" w:rsidP="005475A6">
      <w:pPr>
        <w:spacing w:after="0" w:line="240" w:lineRule="auto"/>
        <w:textAlignment w:val="baseline"/>
        <w:rPr>
          <w:rFonts w:eastAsia="Times New Roman" w:cs="Arial"/>
          <w:color w:val="000000" w:themeColor="text1"/>
          <w:szCs w:val="24"/>
          <w:lang w:eastAsia="en-GB"/>
        </w:rPr>
      </w:pPr>
    </w:p>
    <w:p w14:paraId="1CFC9A98" w14:textId="21C38B45" w:rsidR="005475A6" w:rsidRDefault="005475A6" w:rsidP="005475A6">
      <w:pPr>
        <w:pStyle w:val="Heading4"/>
        <w:rPr>
          <w:rFonts w:eastAsia="Times New Roman"/>
          <w:lang w:eastAsia="en-GB"/>
        </w:rPr>
      </w:pPr>
      <w:r>
        <w:rPr>
          <w:rFonts w:eastAsia="Times New Roman"/>
          <w:color w:val="000000" w:themeColor="text1"/>
          <w:lang w:eastAsia="en-GB"/>
        </w:rPr>
        <w:t xml:space="preserve">4.1.6 </w:t>
      </w:r>
      <w:r w:rsidRPr="00B46382">
        <w:rPr>
          <w:rFonts w:eastAsia="Times New Roman"/>
          <w:b w:val="0"/>
          <w:lang w:eastAsia="en-GB"/>
        </w:rPr>
        <w:t>IS1.6 Personal Development Tutors/Go Higher West Yorkshire (GHWY) Collaborations </w:t>
      </w:r>
    </w:p>
    <w:p w14:paraId="65C293F5" w14:textId="54C5B985" w:rsidR="005475A6" w:rsidRDefault="005475A6" w:rsidP="005475A6">
      <w:pPr>
        <w:rPr>
          <w:lang w:eastAsia="en-GB"/>
        </w:rPr>
      </w:pPr>
      <w:r>
        <w:rPr>
          <w:lang w:eastAsia="en-GB"/>
        </w:rPr>
        <w:t xml:space="preserve">Activity: </w:t>
      </w:r>
      <w:r w:rsidRPr="00B46382">
        <w:rPr>
          <w:lang w:eastAsia="en-GB"/>
        </w:rPr>
        <w:t>Bespoke cross college activity dependent on needs of each provision. Outreach Officer sharing existing GHWY personal development resources (</w:t>
      </w:r>
      <w:hyperlink r:id="rId11" w:history="1">
        <w:r w:rsidRPr="00B46382">
          <w:rPr>
            <w:rStyle w:val="Hyperlink"/>
            <w:rFonts w:cs="Arial"/>
            <w:szCs w:val="24"/>
          </w:rPr>
          <w:t>https://gohigherwestyorks.ac.uk/resources/teachers-carers-advisors/key-downloads-workbooks-and-tools/</w:t>
        </w:r>
      </w:hyperlink>
      <w:r w:rsidRPr="00B46382">
        <w:t>)</w:t>
      </w:r>
      <w:r w:rsidRPr="00B46382">
        <w:rPr>
          <w:rStyle w:val="Hyperlink"/>
          <w:rFonts w:cs="Arial"/>
          <w:szCs w:val="24"/>
        </w:rPr>
        <w:t xml:space="preserve"> </w:t>
      </w:r>
      <w:r w:rsidRPr="00B46382">
        <w:rPr>
          <w:lang w:eastAsia="en-GB"/>
        </w:rPr>
        <w:t>using a train the trainer model, and offer of co-teaching model. Materials are used to support PDT in delivery in tutorial classes. Themes e.g. metacognition, problem solving, communication/HE Offer/UCAS applications/bursary IAG. (New Activity)</w:t>
      </w:r>
    </w:p>
    <w:p w14:paraId="7FC74270" w14:textId="22AFF923" w:rsidR="005475A6" w:rsidRDefault="005475A6" w:rsidP="005475A6">
      <w:pPr>
        <w:spacing w:after="0" w:line="240" w:lineRule="auto"/>
        <w:textAlignment w:val="baseline"/>
        <w:rPr>
          <w:rFonts w:eastAsia="Times New Roman" w:cs="Arial"/>
          <w:szCs w:val="24"/>
          <w:lang w:eastAsia="en-GB"/>
        </w:rPr>
      </w:pPr>
      <w:r>
        <w:rPr>
          <w:lang w:eastAsia="en-GB"/>
        </w:rPr>
        <w:t xml:space="preserve">Inputs: </w:t>
      </w:r>
      <w:r w:rsidRPr="00B46382">
        <w:rPr>
          <w:rFonts w:eastAsia="Times New Roman" w:cs="Arial"/>
          <w:szCs w:val="24"/>
          <w:lang w:eastAsia="en-GB"/>
        </w:rPr>
        <w:t>Staff time: Training sessions (Outreach officer/PDCs)</w:t>
      </w:r>
      <w:r>
        <w:rPr>
          <w:rFonts w:eastAsia="Times New Roman" w:cs="Arial"/>
          <w:szCs w:val="24"/>
          <w:lang w:eastAsia="en-GB"/>
        </w:rPr>
        <w:t xml:space="preserve">. </w:t>
      </w:r>
      <w:r w:rsidRPr="00B46382">
        <w:rPr>
          <w:rFonts w:eastAsia="Times New Roman" w:cs="Arial"/>
          <w:szCs w:val="24"/>
          <w:lang w:eastAsia="en-GB"/>
        </w:rPr>
        <w:t>Development time (PDTs) to contextualise raising attainment resources for tutorial groups. Activity evaluation time (PDTs) Outreach Officer/PDT shadowing/co-teaching.</w:t>
      </w:r>
    </w:p>
    <w:p w14:paraId="53F58131" w14:textId="0C6A079A" w:rsidR="005475A6" w:rsidRDefault="005475A6" w:rsidP="005475A6">
      <w:pPr>
        <w:spacing w:after="0" w:line="240" w:lineRule="auto"/>
        <w:textAlignment w:val="baseline"/>
        <w:rPr>
          <w:rFonts w:eastAsia="Times New Roman" w:cs="Arial"/>
          <w:szCs w:val="24"/>
          <w:lang w:eastAsia="en-GB"/>
        </w:rPr>
      </w:pPr>
    </w:p>
    <w:p w14:paraId="0CC79D35" w14:textId="77777777" w:rsidR="005475A6" w:rsidRPr="00B46382" w:rsidRDefault="005475A6" w:rsidP="005475A6">
      <w:pPr>
        <w:spacing w:after="0" w:line="240" w:lineRule="auto"/>
        <w:textAlignment w:val="baseline"/>
        <w:rPr>
          <w:rFonts w:eastAsia="Times New Roman" w:cs="Arial"/>
          <w:b/>
          <w:bCs/>
          <w:szCs w:val="24"/>
          <w:lang w:eastAsia="en-GB"/>
        </w:rPr>
      </w:pPr>
      <w:r>
        <w:rPr>
          <w:rFonts w:eastAsia="Times New Roman" w:cs="Arial"/>
          <w:szCs w:val="24"/>
          <w:lang w:eastAsia="en-GB"/>
        </w:rPr>
        <w:t xml:space="preserve">Outcomes: </w:t>
      </w:r>
      <w:r w:rsidRPr="00B46382">
        <w:rPr>
          <w:rFonts w:eastAsia="Times New Roman" w:cs="Arial"/>
          <w:szCs w:val="24"/>
          <w:lang w:eastAsia="en-GB"/>
        </w:rPr>
        <w:t xml:space="preserve">Increase </w:t>
      </w:r>
      <w:proofErr w:type="gramStart"/>
      <w:r w:rsidRPr="00B46382">
        <w:rPr>
          <w:rFonts w:eastAsia="Times New Roman" w:cs="Arial"/>
          <w:szCs w:val="24"/>
          <w:lang w:eastAsia="en-GB"/>
        </w:rPr>
        <w:t>learners</w:t>
      </w:r>
      <w:proofErr w:type="gramEnd"/>
      <w:r w:rsidRPr="00B46382">
        <w:rPr>
          <w:rFonts w:eastAsia="Times New Roman" w:cs="Arial"/>
          <w:szCs w:val="24"/>
          <w:lang w:eastAsia="en-GB"/>
        </w:rPr>
        <w:t xml:space="preserve"> knowledge and aspirations and interactions with HE and related career opportunities whilst building confidence.</w:t>
      </w:r>
    </w:p>
    <w:p w14:paraId="5AB24768" w14:textId="0E667C9F" w:rsidR="005475A6" w:rsidRPr="00B46382" w:rsidRDefault="005475A6" w:rsidP="005475A6">
      <w:pPr>
        <w:spacing w:after="0" w:line="240" w:lineRule="auto"/>
        <w:textAlignment w:val="baseline"/>
        <w:rPr>
          <w:rFonts w:eastAsia="Times New Roman" w:cs="Arial"/>
          <w:szCs w:val="24"/>
          <w:lang w:eastAsia="en-GB"/>
        </w:rPr>
      </w:pPr>
    </w:p>
    <w:p w14:paraId="406AF391" w14:textId="0D7531A5" w:rsidR="005475A6" w:rsidRDefault="005475A6" w:rsidP="005475A6">
      <w:pPr>
        <w:spacing w:after="0" w:line="240" w:lineRule="auto"/>
        <w:textAlignment w:val="baseline"/>
        <w:rPr>
          <w:rFonts w:cs="Arial"/>
          <w:color w:val="000000" w:themeColor="text1"/>
          <w:szCs w:val="24"/>
        </w:rPr>
      </w:pPr>
      <w:r>
        <w:rPr>
          <w:lang w:eastAsia="en-GB"/>
        </w:rPr>
        <w:t xml:space="preserve">Cross Intervention: </w:t>
      </w:r>
      <w:r w:rsidRPr="00B46382">
        <w:rPr>
          <w:rFonts w:eastAsia="Times New Roman" w:cs="Arial"/>
          <w:color w:val="000000" w:themeColor="text1"/>
          <w:szCs w:val="24"/>
          <w:lang w:eastAsia="en-GB"/>
        </w:rPr>
        <w:t>IS2</w:t>
      </w:r>
      <w:r>
        <w:rPr>
          <w:rFonts w:eastAsia="Times New Roman" w:cs="Arial"/>
          <w:color w:val="000000" w:themeColor="text1"/>
          <w:szCs w:val="24"/>
          <w:lang w:eastAsia="en-GB"/>
        </w:rPr>
        <w:t xml:space="preserve"> </w:t>
      </w:r>
      <w:r w:rsidRPr="00B46382">
        <w:rPr>
          <w:rFonts w:cs="Arial"/>
          <w:color w:val="000000" w:themeColor="text1"/>
          <w:szCs w:val="24"/>
        </w:rPr>
        <w:t>(This activity links directly to EORR Risks: 1, 2, 3, 5, 7, 8).</w:t>
      </w:r>
    </w:p>
    <w:p w14:paraId="3AA1F147" w14:textId="77777777" w:rsidR="005475A6" w:rsidRDefault="005475A6" w:rsidP="005475A6">
      <w:pPr>
        <w:spacing w:after="0" w:line="240" w:lineRule="auto"/>
        <w:textAlignment w:val="baseline"/>
        <w:rPr>
          <w:rFonts w:cs="Arial"/>
          <w:bCs/>
          <w:szCs w:val="24"/>
        </w:rPr>
      </w:pPr>
    </w:p>
    <w:p w14:paraId="63FE4FB2" w14:textId="20335CE3" w:rsidR="005475A6" w:rsidRDefault="005475A6" w:rsidP="005475A6">
      <w:pPr>
        <w:spacing w:after="0" w:line="240" w:lineRule="auto"/>
        <w:textAlignment w:val="baseline"/>
        <w:rPr>
          <w:rFonts w:cs="Arial"/>
          <w:bCs/>
          <w:szCs w:val="24"/>
        </w:rPr>
      </w:pPr>
      <w:r w:rsidRPr="005475A6">
        <w:rPr>
          <w:rFonts w:cs="Arial"/>
          <w:bCs/>
          <w:szCs w:val="24"/>
        </w:rPr>
        <w:t>Total cost of IS1 over 4-year cycle: £165,325</w:t>
      </w:r>
    </w:p>
    <w:p w14:paraId="6D7F3BC4" w14:textId="77777777" w:rsidR="005475A6" w:rsidRPr="005475A6" w:rsidRDefault="005475A6" w:rsidP="005475A6">
      <w:pPr>
        <w:spacing w:after="0" w:line="240" w:lineRule="auto"/>
        <w:textAlignment w:val="baseline"/>
        <w:rPr>
          <w:rFonts w:eastAsia="Times New Roman" w:cs="Arial"/>
          <w:color w:val="000000" w:themeColor="text1"/>
          <w:szCs w:val="24"/>
          <w:lang w:eastAsia="en-GB"/>
        </w:rPr>
      </w:pPr>
    </w:p>
    <w:p w14:paraId="0F4CAB97" w14:textId="6ED116FD" w:rsidR="00A42B25" w:rsidRDefault="00A42B25" w:rsidP="00A42B25">
      <w:pPr>
        <w:pStyle w:val="Heading3"/>
        <w:rPr>
          <w:b w:val="0"/>
        </w:rPr>
      </w:pPr>
      <w:r>
        <w:t xml:space="preserve">4.2 </w:t>
      </w:r>
      <w:r w:rsidR="003B245C" w:rsidRPr="00B46382">
        <w:rPr>
          <w:b w:val="0"/>
        </w:rPr>
        <w:t>Summary of evidence base and rational</w:t>
      </w:r>
      <w:r>
        <w:rPr>
          <w:b w:val="0"/>
        </w:rPr>
        <w:t>e</w:t>
      </w:r>
    </w:p>
    <w:p w14:paraId="043A4616" w14:textId="1101DB74" w:rsidR="003B245C" w:rsidRPr="00B46382" w:rsidRDefault="001D5FE8" w:rsidP="003B245C">
      <w:pPr>
        <w:rPr>
          <w:rFonts w:cs="Arial"/>
          <w:color w:val="000000" w:themeColor="text1"/>
          <w:szCs w:val="24"/>
        </w:rPr>
      </w:pPr>
      <w:r w:rsidRPr="00B46382">
        <w:rPr>
          <w:rFonts w:cs="Arial"/>
          <w:szCs w:val="24"/>
        </w:rPr>
        <w:t>We have conducted a literature review, consulted our own internal data, student body and narrative to provide our evidence base and rationale to support the planned intervention strategy activities detailed above (</w:t>
      </w:r>
      <w:r w:rsidRPr="00B46382">
        <w:rPr>
          <w:rFonts w:cs="Arial"/>
          <w:color w:val="000000" w:themeColor="text1"/>
          <w:szCs w:val="24"/>
        </w:rPr>
        <w:t>see Annex B).</w:t>
      </w:r>
    </w:p>
    <w:p w14:paraId="420FCF7F" w14:textId="355DC80C" w:rsidR="00A42B25" w:rsidRDefault="00A42B25" w:rsidP="00A42B25">
      <w:pPr>
        <w:pStyle w:val="Heading3"/>
        <w:rPr>
          <w:b w:val="0"/>
        </w:rPr>
      </w:pPr>
      <w:r>
        <w:t xml:space="preserve">4.3 </w:t>
      </w:r>
      <w:r w:rsidR="004F7609" w:rsidRPr="00B46382">
        <w:rPr>
          <w:b w:val="0"/>
        </w:rPr>
        <w:t>Evaluation</w:t>
      </w:r>
    </w:p>
    <w:p w14:paraId="53FF42D4" w14:textId="41D92290" w:rsidR="003130DE" w:rsidRPr="00B46382" w:rsidRDefault="003E1B60" w:rsidP="00C01625">
      <w:pPr>
        <w:pStyle w:val="NormalWeb"/>
        <w:spacing w:before="0" w:beforeAutospacing="0" w:after="300" w:afterAutospacing="0"/>
        <w:rPr>
          <w:rFonts w:ascii="Arial" w:hAnsi="Arial" w:cs="Arial"/>
        </w:rPr>
      </w:pPr>
      <w:r w:rsidRPr="00B46382">
        <w:rPr>
          <w:rFonts w:ascii="Arial" w:hAnsi="Arial" w:cs="Arial"/>
          <w:color w:val="000000" w:themeColor="text1"/>
        </w:rPr>
        <w:t xml:space="preserve">To ensure </w:t>
      </w:r>
      <w:r w:rsidRPr="00B46382">
        <w:rPr>
          <w:rFonts w:ascii="Arial" w:hAnsi="Arial" w:cs="Arial"/>
        </w:rPr>
        <w:t xml:space="preserve">robustness of our evaluation strategy with appropriateness to our planned intervention activities, we have </w:t>
      </w:r>
      <w:r w:rsidR="007C03EB" w:rsidRPr="00B46382">
        <w:rPr>
          <w:rFonts w:ascii="Arial" w:hAnsi="Arial" w:cs="Arial"/>
        </w:rPr>
        <w:t>sought guidance from the</w:t>
      </w:r>
      <w:r w:rsidR="00F9201D" w:rsidRPr="00B46382">
        <w:rPr>
          <w:rFonts w:ascii="Arial" w:hAnsi="Arial" w:cs="Arial"/>
          <w:color w:val="000000" w:themeColor="text1"/>
        </w:rPr>
        <w:t xml:space="preserve"> </w:t>
      </w:r>
      <w:proofErr w:type="spellStart"/>
      <w:r w:rsidR="00837A9A" w:rsidRPr="00B46382">
        <w:rPr>
          <w:rFonts w:ascii="Arial" w:hAnsi="Arial" w:cs="Arial"/>
          <w:color w:val="000000" w:themeColor="text1"/>
        </w:rPr>
        <w:t>OfS</w:t>
      </w:r>
      <w:proofErr w:type="spellEnd"/>
      <w:r w:rsidR="00837A9A" w:rsidRPr="00B46382">
        <w:rPr>
          <w:rFonts w:ascii="Arial" w:hAnsi="Arial" w:cs="Arial"/>
          <w:color w:val="000000" w:themeColor="text1"/>
        </w:rPr>
        <w:t xml:space="preserve"> </w:t>
      </w:r>
      <w:hyperlink r:id="rId12" w:history="1">
        <w:r w:rsidR="00F9201D" w:rsidRPr="00B46382">
          <w:rPr>
            <w:rStyle w:val="Hyperlink"/>
            <w:rFonts w:ascii="Arial" w:eastAsia="Arial" w:hAnsi="Arial" w:cs="Arial"/>
          </w:rPr>
          <w:t>Evaluation Too</w:t>
        </w:r>
        <w:r w:rsidR="00837A9A" w:rsidRPr="00B46382">
          <w:rPr>
            <w:rStyle w:val="Hyperlink"/>
            <w:rFonts w:ascii="Arial" w:eastAsia="Arial" w:hAnsi="Arial" w:cs="Arial"/>
          </w:rPr>
          <w:t>l</w:t>
        </w:r>
        <w:r w:rsidR="00F9201D" w:rsidRPr="00B46382">
          <w:rPr>
            <w:rStyle w:val="Hyperlink"/>
            <w:rFonts w:ascii="Arial" w:eastAsia="Arial" w:hAnsi="Arial" w:cs="Arial"/>
          </w:rPr>
          <w:t>kit (officeforstudents.org.uk)</w:t>
        </w:r>
      </w:hyperlink>
      <w:r w:rsidR="008F5974" w:rsidRPr="00B46382">
        <w:rPr>
          <w:rFonts w:ascii="Arial" w:hAnsi="Arial" w:cs="Arial"/>
          <w:color w:val="000000" w:themeColor="text1"/>
        </w:rPr>
        <w:t xml:space="preserve">, </w:t>
      </w:r>
      <w:hyperlink r:id="rId13" w:history="1">
        <w:r w:rsidR="009D3911" w:rsidRPr="00B46382">
          <w:rPr>
            <w:rStyle w:val="Hyperlink"/>
            <w:rFonts w:ascii="Arial" w:hAnsi="Arial" w:cs="Arial"/>
          </w:rPr>
          <w:t xml:space="preserve">TASO (2023) Impact Evaluation with </w:t>
        </w:r>
        <w:proofErr w:type="spellStart"/>
        <w:r w:rsidR="009D3911" w:rsidRPr="00B46382">
          <w:rPr>
            <w:rStyle w:val="Hyperlink"/>
            <w:rFonts w:ascii="Arial" w:hAnsi="Arial" w:cs="Arial"/>
          </w:rPr>
          <w:t>Smalll</w:t>
        </w:r>
        <w:proofErr w:type="spellEnd"/>
        <w:r w:rsidR="009D3911" w:rsidRPr="00B46382">
          <w:rPr>
            <w:rStyle w:val="Hyperlink"/>
            <w:rFonts w:ascii="Arial" w:hAnsi="Arial" w:cs="Arial"/>
          </w:rPr>
          <w:t xml:space="preserve"> cohorts: Methodology Guidance</w:t>
        </w:r>
      </w:hyperlink>
      <w:r w:rsidR="00D05FA3" w:rsidRPr="00B46382">
        <w:rPr>
          <w:rFonts w:ascii="Arial" w:hAnsi="Arial" w:cs="Arial"/>
        </w:rPr>
        <w:t xml:space="preserve">. </w:t>
      </w:r>
      <w:r w:rsidR="00B45719" w:rsidRPr="00B46382">
        <w:rPr>
          <w:rFonts w:ascii="Arial" w:hAnsi="Arial" w:cs="Arial"/>
        </w:rPr>
        <w:t xml:space="preserve">Also </w:t>
      </w:r>
      <w:r w:rsidR="00E66ED7" w:rsidRPr="00B46382">
        <w:rPr>
          <w:rFonts w:ascii="Arial" w:hAnsi="Arial" w:cs="Arial"/>
        </w:rPr>
        <w:t xml:space="preserve">very useful was the </w:t>
      </w:r>
      <w:hyperlink r:id="rId14" w:history="1">
        <w:proofErr w:type="spellStart"/>
        <w:r w:rsidR="00E66ED7" w:rsidRPr="00B46382">
          <w:rPr>
            <w:rStyle w:val="Hyperlink"/>
            <w:rFonts w:ascii="Arial" w:hAnsi="Arial" w:cs="Arial"/>
          </w:rPr>
          <w:t>OfS</w:t>
        </w:r>
        <w:proofErr w:type="spellEnd"/>
        <w:r w:rsidR="00E66ED7" w:rsidRPr="00B46382">
          <w:rPr>
            <w:rStyle w:val="Hyperlink"/>
            <w:rFonts w:ascii="Arial" w:hAnsi="Arial" w:cs="Arial"/>
          </w:rPr>
          <w:t xml:space="preserve"> Addressing Barriers to Student Success Programme (ABSS)</w:t>
        </w:r>
      </w:hyperlink>
      <w:r w:rsidR="00E952D2" w:rsidRPr="00B46382">
        <w:rPr>
          <w:rFonts w:ascii="Arial" w:hAnsi="Arial" w:cs="Arial"/>
        </w:rPr>
        <w:t xml:space="preserve"> </w:t>
      </w:r>
      <w:r w:rsidR="002447D0" w:rsidRPr="00B46382">
        <w:rPr>
          <w:rFonts w:ascii="Arial" w:hAnsi="Arial" w:cs="Arial"/>
        </w:rPr>
        <w:t xml:space="preserve">and particularly the </w:t>
      </w:r>
      <w:hyperlink r:id="rId15" w:history="1">
        <w:proofErr w:type="spellStart"/>
        <w:r w:rsidR="002447D0" w:rsidRPr="00B46382">
          <w:rPr>
            <w:rStyle w:val="Hyperlink"/>
            <w:rFonts w:ascii="Arial" w:hAnsi="Arial" w:cs="Arial"/>
          </w:rPr>
          <w:t>OfS</w:t>
        </w:r>
        <w:proofErr w:type="spellEnd"/>
        <w:r w:rsidR="002447D0" w:rsidRPr="00B46382">
          <w:rPr>
            <w:rStyle w:val="Hyperlink"/>
            <w:rFonts w:ascii="Arial" w:hAnsi="Arial" w:cs="Arial"/>
          </w:rPr>
          <w:t xml:space="preserve"> Summative Evaluation Report</w:t>
        </w:r>
      </w:hyperlink>
      <w:r w:rsidR="002447D0" w:rsidRPr="00B46382">
        <w:rPr>
          <w:rFonts w:ascii="Arial" w:hAnsi="Arial" w:cs="Arial"/>
        </w:rPr>
        <w:t xml:space="preserve">. </w:t>
      </w:r>
      <w:r w:rsidR="00D05FA3" w:rsidRPr="00B46382">
        <w:rPr>
          <w:rFonts w:ascii="Arial" w:hAnsi="Arial" w:cs="Arial"/>
        </w:rPr>
        <w:lastRenderedPageBreak/>
        <w:t>We have also relied upon TAS</w:t>
      </w:r>
      <w:r w:rsidR="003130DE" w:rsidRPr="00B46382">
        <w:rPr>
          <w:rFonts w:ascii="Arial" w:hAnsi="Arial" w:cs="Arial"/>
        </w:rPr>
        <w:t xml:space="preserve">O’s </w:t>
      </w:r>
      <w:hyperlink r:id="rId16" w:history="1">
        <w:r w:rsidR="003130DE" w:rsidRPr="00B46382">
          <w:rPr>
            <w:rStyle w:val="Hyperlink"/>
            <w:rFonts w:ascii="Arial" w:hAnsi="Arial" w:cs="Arial"/>
          </w:rPr>
          <w:t>Theory of Change Resources</w:t>
        </w:r>
      </w:hyperlink>
      <w:r w:rsidR="003130DE" w:rsidRPr="00B46382">
        <w:rPr>
          <w:rFonts w:ascii="Arial" w:hAnsi="Arial" w:cs="Arial"/>
        </w:rPr>
        <w:t xml:space="preserve"> </w:t>
      </w:r>
      <w:r w:rsidR="007002E5" w:rsidRPr="00B46382">
        <w:rPr>
          <w:rFonts w:ascii="Arial" w:hAnsi="Arial" w:cs="Arial"/>
        </w:rPr>
        <w:t>and</w:t>
      </w:r>
      <w:r w:rsidR="00DB297A" w:rsidRPr="00B46382">
        <w:rPr>
          <w:rFonts w:ascii="Arial" w:hAnsi="Arial" w:cs="Arial"/>
        </w:rPr>
        <w:t xml:space="preserve"> attend</w:t>
      </w:r>
      <w:r w:rsidR="003467AD" w:rsidRPr="00B46382">
        <w:rPr>
          <w:rFonts w:ascii="Arial" w:hAnsi="Arial" w:cs="Arial"/>
        </w:rPr>
        <w:t xml:space="preserve">ed </w:t>
      </w:r>
      <w:r w:rsidR="001A75E7" w:rsidRPr="00B46382">
        <w:rPr>
          <w:rFonts w:ascii="Arial" w:hAnsi="Arial" w:cs="Arial"/>
        </w:rPr>
        <w:t>E</w:t>
      </w:r>
      <w:r w:rsidR="007002E5" w:rsidRPr="00B46382">
        <w:rPr>
          <w:rFonts w:ascii="Arial" w:hAnsi="Arial" w:cs="Arial"/>
        </w:rPr>
        <w:t>valuation</w:t>
      </w:r>
      <w:r w:rsidR="008B0F5E" w:rsidRPr="00B46382">
        <w:rPr>
          <w:rFonts w:ascii="Arial" w:hAnsi="Arial" w:cs="Arial"/>
        </w:rPr>
        <w:t>/Theory of Change framework</w:t>
      </w:r>
      <w:r w:rsidR="007002E5" w:rsidRPr="00B46382">
        <w:rPr>
          <w:rFonts w:ascii="Arial" w:hAnsi="Arial" w:cs="Arial"/>
        </w:rPr>
        <w:t xml:space="preserve"> </w:t>
      </w:r>
      <w:r w:rsidR="008B0F5E" w:rsidRPr="00B46382">
        <w:rPr>
          <w:rFonts w:ascii="Arial" w:hAnsi="Arial" w:cs="Arial"/>
        </w:rPr>
        <w:t xml:space="preserve">training </w:t>
      </w:r>
      <w:r w:rsidR="007002E5" w:rsidRPr="00B46382">
        <w:rPr>
          <w:rFonts w:ascii="Arial" w:hAnsi="Arial" w:cs="Arial"/>
        </w:rPr>
        <w:t>provided by</w:t>
      </w:r>
      <w:r w:rsidR="003467AD" w:rsidRPr="00B46382">
        <w:rPr>
          <w:rFonts w:ascii="Arial" w:hAnsi="Arial" w:cs="Arial"/>
        </w:rPr>
        <w:t xml:space="preserve"> our partners</w:t>
      </w:r>
      <w:r w:rsidR="007002E5" w:rsidRPr="00B46382">
        <w:rPr>
          <w:rFonts w:ascii="Arial" w:hAnsi="Arial" w:cs="Arial"/>
        </w:rPr>
        <w:t xml:space="preserve"> GHWY</w:t>
      </w:r>
      <w:r w:rsidR="003130DE" w:rsidRPr="00B46382">
        <w:rPr>
          <w:rFonts w:ascii="Arial" w:hAnsi="Arial" w:cs="Arial"/>
        </w:rPr>
        <w:t xml:space="preserve"> to gain a solid foundation from which to design and develop our </w:t>
      </w:r>
      <w:r w:rsidR="00231ADC" w:rsidRPr="00B46382">
        <w:rPr>
          <w:rFonts w:ascii="Arial" w:hAnsi="Arial" w:cs="Arial"/>
        </w:rPr>
        <w:t>i</w:t>
      </w:r>
      <w:r w:rsidR="003130DE" w:rsidRPr="00B46382">
        <w:rPr>
          <w:rFonts w:ascii="Arial" w:hAnsi="Arial" w:cs="Arial"/>
        </w:rPr>
        <w:t xml:space="preserve">ntervention </w:t>
      </w:r>
      <w:r w:rsidR="00231ADC" w:rsidRPr="00B46382">
        <w:rPr>
          <w:rFonts w:ascii="Arial" w:hAnsi="Arial" w:cs="Arial"/>
        </w:rPr>
        <w:t>s</w:t>
      </w:r>
      <w:r w:rsidR="003130DE" w:rsidRPr="00B46382">
        <w:rPr>
          <w:rFonts w:ascii="Arial" w:hAnsi="Arial" w:cs="Arial"/>
        </w:rPr>
        <w:t>trategies</w:t>
      </w:r>
      <w:r w:rsidR="003E183A" w:rsidRPr="00B46382">
        <w:rPr>
          <w:rFonts w:ascii="Arial" w:hAnsi="Arial" w:cs="Arial"/>
        </w:rPr>
        <w:t>.</w:t>
      </w:r>
      <w:r w:rsidR="00A20CF2" w:rsidRPr="00B46382">
        <w:rPr>
          <w:rFonts w:ascii="Arial" w:hAnsi="Arial" w:cs="Arial"/>
        </w:rPr>
        <w:t xml:space="preserve"> </w:t>
      </w:r>
    </w:p>
    <w:p w14:paraId="5917CECF" w14:textId="3F15EB78" w:rsidR="00F410BB" w:rsidRPr="00B46382" w:rsidRDefault="003E183A" w:rsidP="000D238E">
      <w:pPr>
        <w:pStyle w:val="NormalWeb"/>
        <w:spacing w:before="0" w:beforeAutospacing="0" w:after="300" w:afterAutospacing="0"/>
        <w:rPr>
          <w:rFonts w:ascii="Arial" w:hAnsi="Arial" w:cs="Arial"/>
        </w:rPr>
      </w:pPr>
      <w:r w:rsidRPr="00B46382">
        <w:rPr>
          <w:rFonts w:ascii="Arial" w:hAnsi="Arial" w:cs="Arial"/>
        </w:rPr>
        <w:t>W</w:t>
      </w:r>
      <w:r w:rsidR="00A20CF2" w:rsidRPr="00B46382">
        <w:rPr>
          <w:rFonts w:ascii="Arial" w:hAnsi="Arial" w:cs="Arial"/>
        </w:rPr>
        <w:t xml:space="preserve">e have </w:t>
      </w:r>
      <w:r w:rsidR="00045EEF" w:rsidRPr="00B46382">
        <w:rPr>
          <w:rFonts w:ascii="Arial" w:hAnsi="Arial" w:cs="Arial"/>
          <w:color w:val="000000" w:themeColor="text1"/>
        </w:rPr>
        <w:t xml:space="preserve">considered the </w:t>
      </w:r>
      <w:r w:rsidR="0055789A" w:rsidRPr="00B46382">
        <w:rPr>
          <w:rFonts w:ascii="Arial" w:hAnsi="Arial" w:cs="Arial"/>
          <w:color w:val="000000" w:themeColor="text1"/>
        </w:rPr>
        <w:t xml:space="preserve">3 types of </w:t>
      </w:r>
      <w:r w:rsidR="00A20CF2" w:rsidRPr="00B46382">
        <w:rPr>
          <w:rFonts w:ascii="Arial" w:hAnsi="Arial" w:cs="Arial"/>
          <w:color w:val="000000" w:themeColor="text1"/>
        </w:rPr>
        <w:t>i</w:t>
      </w:r>
      <w:r w:rsidR="0055789A" w:rsidRPr="00B46382">
        <w:rPr>
          <w:rFonts w:ascii="Arial" w:hAnsi="Arial" w:cs="Arial"/>
          <w:color w:val="000000" w:themeColor="text1"/>
        </w:rPr>
        <w:t xml:space="preserve">mpact </w:t>
      </w:r>
      <w:r w:rsidR="00A20CF2" w:rsidRPr="00B46382">
        <w:rPr>
          <w:rFonts w:ascii="Arial" w:hAnsi="Arial" w:cs="Arial"/>
          <w:color w:val="000000" w:themeColor="text1"/>
        </w:rPr>
        <w:t>e</w:t>
      </w:r>
      <w:r w:rsidR="0055789A" w:rsidRPr="00B46382">
        <w:rPr>
          <w:rFonts w:ascii="Arial" w:hAnsi="Arial" w:cs="Arial"/>
          <w:color w:val="000000" w:themeColor="text1"/>
        </w:rPr>
        <w:t>valuation</w:t>
      </w:r>
      <w:r w:rsidR="00831FC2" w:rsidRPr="00B46382">
        <w:rPr>
          <w:rFonts w:ascii="Arial" w:hAnsi="Arial" w:cs="Arial"/>
          <w:color w:val="000000" w:themeColor="text1"/>
        </w:rPr>
        <w:t xml:space="preserve"> methods</w:t>
      </w:r>
      <w:r w:rsidR="00717B07" w:rsidRPr="00B46382">
        <w:rPr>
          <w:rFonts w:ascii="Arial" w:hAnsi="Arial" w:cs="Arial"/>
          <w:color w:val="000000" w:themeColor="text1"/>
        </w:rPr>
        <w:t xml:space="preserve">: </w:t>
      </w:r>
      <w:r w:rsidR="00B44226" w:rsidRPr="00B46382">
        <w:rPr>
          <w:rFonts w:ascii="Arial" w:hAnsi="Arial" w:cs="Arial"/>
          <w:color w:val="000000" w:themeColor="text1"/>
        </w:rPr>
        <w:t xml:space="preserve">Type 1: Narrative, Type 2: </w:t>
      </w:r>
      <w:r w:rsidR="000A7995" w:rsidRPr="00B46382">
        <w:rPr>
          <w:rFonts w:ascii="Arial" w:hAnsi="Arial" w:cs="Arial"/>
          <w:color w:val="000000" w:themeColor="text1"/>
        </w:rPr>
        <w:t>Empirical Enquiry and Type 3: Causality</w:t>
      </w:r>
      <w:r w:rsidR="00717B07" w:rsidRPr="00B46382">
        <w:rPr>
          <w:rFonts w:ascii="Arial" w:hAnsi="Arial" w:cs="Arial"/>
          <w:color w:val="000000" w:themeColor="text1"/>
        </w:rPr>
        <w:t>.</w:t>
      </w:r>
      <w:r w:rsidR="004F4888" w:rsidRPr="00B46382">
        <w:rPr>
          <w:rFonts w:ascii="Arial" w:hAnsi="Arial" w:cs="Arial"/>
        </w:rPr>
        <w:t xml:space="preserve"> </w:t>
      </w:r>
      <w:r w:rsidR="00997B5E" w:rsidRPr="00B46382">
        <w:rPr>
          <w:rFonts w:ascii="Arial" w:hAnsi="Arial" w:cs="Arial"/>
        </w:rPr>
        <w:t>W</w:t>
      </w:r>
      <w:r w:rsidR="00C37C08" w:rsidRPr="00B46382">
        <w:rPr>
          <w:rFonts w:ascii="Arial" w:hAnsi="Arial" w:cs="Arial"/>
        </w:rPr>
        <w:t xml:space="preserve">ith </w:t>
      </w:r>
      <w:r w:rsidR="00CF282A" w:rsidRPr="00B46382">
        <w:rPr>
          <w:rFonts w:ascii="Arial" w:hAnsi="Arial" w:cs="Arial"/>
        </w:rPr>
        <w:t>I</w:t>
      </w:r>
      <w:r w:rsidR="00997B5E" w:rsidRPr="00B46382">
        <w:rPr>
          <w:rFonts w:ascii="Arial" w:hAnsi="Arial" w:cs="Arial"/>
        </w:rPr>
        <w:t xml:space="preserve">ntervention </w:t>
      </w:r>
      <w:r w:rsidR="00CF282A" w:rsidRPr="00B46382">
        <w:rPr>
          <w:rFonts w:ascii="Arial" w:hAnsi="Arial" w:cs="Arial"/>
        </w:rPr>
        <w:t>S</w:t>
      </w:r>
      <w:r w:rsidR="00997B5E" w:rsidRPr="00B46382">
        <w:rPr>
          <w:rFonts w:ascii="Arial" w:hAnsi="Arial" w:cs="Arial"/>
        </w:rPr>
        <w:t xml:space="preserve">trategy </w:t>
      </w:r>
      <w:r w:rsidR="00CF282A" w:rsidRPr="00B46382">
        <w:rPr>
          <w:rFonts w:ascii="Arial" w:hAnsi="Arial" w:cs="Arial"/>
        </w:rPr>
        <w:t xml:space="preserve">1 </w:t>
      </w:r>
      <w:r w:rsidR="00C37C08" w:rsidRPr="00B46382">
        <w:rPr>
          <w:rFonts w:ascii="Arial" w:hAnsi="Arial" w:cs="Arial"/>
        </w:rPr>
        <w:t xml:space="preserve">we intend </w:t>
      </w:r>
      <w:r w:rsidR="00997B5E" w:rsidRPr="00B46382">
        <w:rPr>
          <w:rFonts w:ascii="Arial" w:hAnsi="Arial" w:cs="Arial"/>
        </w:rPr>
        <w:t xml:space="preserve">to generate Type 2 </w:t>
      </w:r>
      <w:r w:rsidR="00565C65" w:rsidRPr="00B46382">
        <w:rPr>
          <w:rFonts w:ascii="Arial" w:hAnsi="Arial" w:cs="Arial"/>
        </w:rPr>
        <w:t>Empirical Enquiry Evidence</w:t>
      </w:r>
      <w:r w:rsidR="00997B5E" w:rsidRPr="00B46382">
        <w:rPr>
          <w:rFonts w:ascii="Arial" w:hAnsi="Arial" w:cs="Arial"/>
        </w:rPr>
        <w:t xml:space="preserve"> to establish whether or not</w:t>
      </w:r>
      <w:r w:rsidR="00F929A0" w:rsidRPr="00B46382">
        <w:rPr>
          <w:rFonts w:ascii="Arial" w:hAnsi="Arial" w:cs="Arial"/>
        </w:rPr>
        <w:t xml:space="preserve"> activities result </w:t>
      </w:r>
      <w:r w:rsidR="00AA6D0B" w:rsidRPr="00B46382">
        <w:rPr>
          <w:rFonts w:ascii="Arial" w:hAnsi="Arial" w:cs="Arial"/>
        </w:rPr>
        <w:t>in</w:t>
      </w:r>
      <w:r w:rsidR="00997B5E" w:rsidRPr="00B46382">
        <w:rPr>
          <w:rFonts w:ascii="Arial" w:hAnsi="Arial" w:cs="Arial"/>
        </w:rPr>
        <w:t xml:space="preserve"> the intended outcomes. We will also examine the extent to which each activity contributes towards meeting the overall objective</w:t>
      </w:r>
      <w:r w:rsidR="00DA03DB" w:rsidRPr="00B46382">
        <w:rPr>
          <w:rFonts w:ascii="Arial" w:hAnsi="Arial" w:cs="Arial"/>
        </w:rPr>
        <w:t xml:space="preserve"> PTS</w:t>
      </w:r>
      <w:r w:rsidR="000232C0" w:rsidRPr="00B46382">
        <w:rPr>
          <w:rFonts w:ascii="Arial" w:hAnsi="Arial" w:cs="Arial"/>
        </w:rPr>
        <w:softHyphen/>
      </w:r>
      <w:r w:rsidR="000232C0" w:rsidRPr="00B46382">
        <w:rPr>
          <w:rFonts w:ascii="Arial" w:hAnsi="Arial" w:cs="Arial"/>
        </w:rPr>
        <w:softHyphen/>
      </w:r>
      <w:r w:rsidR="0076253A" w:rsidRPr="00B46382">
        <w:rPr>
          <w:rFonts w:ascii="Arial" w:hAnsi="Arial" w:cs="Arial"/>
        </w:rPr>
        <w:t>_</w:t>
      </w:r>
      <w:r w:rsidR="00DA03DB" w:rsidRPr="00B46382">
        <w:rPr>
          <w:rFonts w:ascii="Arial" w:hAnsi="Arial" w:cs="Arial"/>
        </w:rPr>
        <w:t>1</w:t>
      </w:r>
      <w:r w:rsidR="000232C0" w:rsidRPr="00B46382">
        <w:rPr>
          <w:rFonts w:ascii="Arial" w:hAnsi="Arial" w:cs="Arial"/>
          <w:color w:val="333333"/>
        </w:rPr>
        <w:t xml:space="preserve">: </w:t>
      </w:r>
      <w:r w:rsidR="000232C0" w:rsidRPr="00B46382">
        <w:rPr>
          <w:rFonts w:ascii="Arial" w:hAnsi="Arial" w:cs="Arial"/>
        </w:rPr>
        <w:t xml:space="preserve">to reduce the achievement gap between students from deprived socio-economic backgrounds (IMD Q1-2) and more affluent socio-economic backgrounds (IMD 3-10) from 18.85% in 2022/23 to </w:t>
      </w:r>
      <w:r w:rsidR="00377B7A" w:rsidRPr="00B46382">
        <w:rPr>
          <w:rFonts w:ascii="Arial" w:hAnsi="Arial" w:cs="Arial"/>
        </w:rPr>
        <w:t>6</w:t>
      </w:r>
      <w:r w:rsidR="000232C0" w:rsidRPr="00B46382">
        <w:rPr>
          <w:rFonts w:ascii="Arial" w:hAnsi="Arial" w:cs="Arial"/>
        </w:rPr>
        <w:t>% in 2028/29</w:t>
      </w:r>
      <w:r w:rsidR="00997B5E" w:rsidRPr="00B46382">
        <w:rPr>
          <w:rFonts w:ascii="Arial" w:hAnsi="Arial" w:cs="Arial"/>
        </w:rPr>
        <w:t xml:space="preserve">. </w:t>
      </w:r>
    </w:p>
    <w:p w14:paraId="40D0A676" w14:textId="27815934" w:rsidR="00353DCF" w:rsidRPr="00B46382" w:rsidRDefault="00F410BB" w:rsidP="000D238E">
      <w:pPr>
        <w:pStyle w:val="NormalWeb"/>
        <w:spacing w:before="0" w:beforeAutospacing="0" w:after="300" w:afterAutospacing="0"/>
        <w:rPr>
          <w:rFonts w:ascii="Arial" w:hAnsi="Arial" w:cs="Arial"/>
        </w:rPr>
      </w:pPr>
      <w:r w:rsidRPr="00B46382">
        <w:rPr>
          <w:rFonts w:ascii="Arial" w:hAnsi="Arial" w:cs="Arial"/>
          <w:color w:val="000000" w:themeColor="text1"/>
        </w:rPr>
        <w:t xml:space="preserve">We aim to generate evidence through </w:t>
      </w:r>
      <w:r w:rsidR="009E2873" w:rsidRPr="00B46382">
        <w:rPr>
          <w:rFonts w:ascii="Arial" w:hAnsi="Arial" w:cs="Arial"/>
          <w:color w:val="000000" w:themeColor="text1"/>
        </w:rPr>
        <w:t xml:space="preserve">a mixed methods approach using </w:t>
      </w:r>
      <w:r w:rsidRPr="00B46382">
        <w:rPr>
          <w:rFonts w:ascii="Arial" w:hAnsi="Arial" w:cs="Arial"/>
          <w:color w:val="000000" w:themeColor="text1"/>
        </w:rPr>
        <w:t>both quantitative and</w:t>
      </w:r>
      <w:r w:rsidR="009E2873" w:rsidRPr="00B46382">
        <w:rPr>
          <w:rFonts w:ascii="Arial" w:hAnsi="Arial" w:cs="Arial"/>
          <w:color w:val="000000" w:themeColor="text1"/>
        </w:rPr>
        <w:t>/or</w:t>
      </w:r>
      <w:r w:rsidRPr="00B46382">
        <w:rPr>
          <w:rFonts w:ascii="Arial" w:hAnsi="Arial" w:cs="Arial"/>
          <w:color w:val="000000" w:themeColor="text1"/>
        </w:rPr>
        <w:t xml:space="preserve"> qualitative </w:t>
      </w:r>
      <w:r w:rsidR="00AC0E2D" w:rsidRPr="00B46382">
        <w:rPr>
          <w:rFonts w:ascii="Arial" w:hAnsi="Arial" w:cs="Arial"/>
          <w:color w:val="000000" w:themeColor="text1"/>
        </w:rPr>
        <w:t xml:space="preserve">evidence </w:t>
      </w:r>
      <w:r w:rsidR="00566AF2" w:rsidRPr="00B46382">
        <w:rPr>
          <w:rFonts w:ascii="Arial" w:hAnsi="Arial" w:cs="Arial"/>
        </w:rPr>
        <w:t>of a pre/post intervention change</w:t>
      </w:r>
      <w:r w:rsidR="000065CA" w:rsidRPr="00B46382">
        <w:rPr>
          <w:rFonts w:ascii="Arial" w:hAnsi="Arial" w:cs="Arial"/>
        </w:rPr>
        <w:t>/difference compared to what might otherwise have happened (</w:t>
      </w:r>
      <w:r w:rsidR="00773DAC" w:rsidRPr="00B46382">
        <w:rPr>
          <w:rFonts w:ascii="Arial" w:hAnsi="Arial" w:cs="Arial"/>
        </w:rPr>
        <w:t>Crawford</w:t>
      </w:r>
      <w:r w:rsidR="00542FD0" w:rsidRPr="00B46382">
        <w:rPr>
          <w:rFonts w:ascii="Arial" w:hAnsi="Arial" w:cs="Arial"/>
        </w:rPr>
        <w:t>,</w:t>
      </w:r>
      <w:r w:rsidR="00773DAC" w:rsidRPr="00B46382">
        <w:rPr>
          <w:rFonts w:ascii="Arial" w:hAnsi="Arial" w:cs="Arial"/>
        </w:rPr>
        <w:t xml:space="preserve"> et al 2017</w:t>
      </w:r>
      <w:r w:rsidR="0060600D" w:rsidRPr="00B46382">
        <w:rPr>
          <w:rFonts w:ascii="Arial" w:hAnsi="Arial" w:cs="Arial"/>
        </w:rPr>
        <w:t>)</w:t>
      </w:r>
      <w:r w:rsidRPr="00B46382">
        <w:rPr>
          <w:rFonts w:ascii="Arial" w:hAnsi="Arial" w:cs="Arial"/>
          <w:color w:val="000000" w:themeColor="text1"/>
        </w:rPr>
        <w:t>.</w:t>
      </w:r>
      <w:r w:rsidRPr="00B46382">
        <w:rPr>
          <w:rFonts w:ascii="Arial" w:hAnsi="Arial" w:cs="Arial"/>
        </w:rPr>
        <w:t xml:space="preserve"> </w:t>
      </w:r>
      <w:r w:rsidR="001226C7" w:rsidRPr="00B46382">
        <w:rPr>
          <w:rFonts w:ascii="Arial" w:hAnsi="Arial" w:cs="Arial"/>
        </w:rPr>
        <w:t xml:space="preserve">Where possible for quantitative data, we plan to analyse data numerically and compare difference to ascertain if desired outcomes have been achieved. </w:t>
      </w:r>
      <w:r w:rsidR="007F3BB1" w:rsidRPr="00B46382">
        <w:rPr>
          <w:rFonts w:ascii="Arial" w:hAnsi="Arial" w:cs="Arial"/>
        </w:rPr>
        <w:t>Pre and post surveys will play a key role</w:t>
      </w:r>
      <w:r w:rsidR="00F8748F" w:rsidRPr="00B46382">
        <w:rPr>
          <w:rFonts w:ascii="Arial" w:hAnsi="Arial" w:cs="Arial"/>
        </w:rPr>
        <w:t xml:space="preserve"> as well as </w:t>
      </w:r>
      <w:r w:rsidR="000331EC" w:rsidRPr="00B46382">
        <w:rPr>
          <w:rFonts w:ascii="Arial" w:hAnsi="Arial" w:cs="Arial"/>
        </w:rPr>
        <w:t>digital</w:t>
      </w:r>
      <w:r w:rsidR="00F8748F" w:rsidRPr="00B46382">
        <w:rPr>
          <w:rFonts w:ascii="Arial" w:hAnsi="Arial" w:cs="Arial"/>
        </w:rPr>
        <w:t xml:space="preserve"> polls</w:t>
      </w:r>
      <w:r w:rsidR="007F3BB1" w:rsidRPr="00B46382">
        <w:rPr>
          <w:rFonts w:ascii="Arial" w:hAnsi="Arial" w:cs="Arial"/>
        </w:rPr>
        <w:t xml:space="preserve">. </w:t>
      </w:r>
      <w:r w:rsidRPr="00B46382">
        <w:rPr>
          <w:rFonts w:ascii="Arial" w:hAnsi="Arial" w:cs="Arial"/>
        </w:rPr>
        <w:t xml:space="preserve">While absolute outcomes are measurable quantifiably, qualitative data </w:t>
      </w:r>
      <w:r w:rsidR="00456D0D" w:rsidRPr="00B46382">
        <w:rPr>
          <w:rFonts w:ascii="Arial" w:hAnsi="Arial" w:cs="Arial"/>
        </w:rPr>
        <w:t>will be</w:t>
      </w:r>
      <w:r w:rsidRPr="00B46382">
        <w:rPr>
          <w:rFonts w:ascii="Arial" w:hAnsi="Arial" w:cs="Arial"/>
        </w:rPr>
        <w:t xml:space="preserve"> important in understanding why something may/may not be working as intended and how it can be improved.</w:t>
      </w:r>
      <w:r w:rsidR="004B4530" w:rsidRPr="00B46382">
        <w:rPr>
          <w:rFonts w:ascii="Arial" w:hAnsi="Arial" w:cs="Arial"/>
        </w:rPr>
        <w:t xml:space="preserve"> </w:t>
      </w:r>
      <w:r w:rsidR="00213466" w:rsidRPr="00B46382">
        <w:rPr>
          <w:rFonts w:ascii="Arial" w:hAnsi="Arial" w:cs="Arial"/>
        </w:rPr>
        <w:t>Also, we plan to use qualitative data as due to our small numbers</w:t>
      </w:r>
      <w:r w:rsidR="003F7527" w:rsidRPr="00B46382">
        <w:rPr>
          <w:rFonts w:ascii="Arial" w:hAnsi="Arial" w:cs="Arial"/>
        </w:rPr>
        <w:t>, levels of statistical significance may not be achieved</w:t>
      </w:r>
      <w:r w:rsidR="0010774C" w:rsidRPr="00B46382">
        <w:rPr>
          <w:rFonts w:ascii="Arial" w:hAnsi="Arial" w:cs="Arial"/>
        </w:rPr>
        <w:t xml:space="preserve"> using </w:t>
      </w:r>
      <w:r w:rsidR="00371AEE" w:rsidRPr="00B46382">
        <w:rPr>
          <w:rFonts w:ascii="Arial" w:hAnsi="Arial" w:cs="Arial"/>
        </w:rPr>
        <w:t>solely quantitative data</w:t>
      </w:r>
      <w:r w:rsidR="003F7527" w:rsidRPr="00B46382">
        <w:rPr>
          <w:rFonts w:ascii="Arial" w:hAnsi="Arial" w:cs="Arial"/>
        </w:rPr>
        <w:t>.</w:t>
      </w:r>
    </w:p>
    <w:p w14:paraId="436E4AD8" w14:textId="6AFB8E7B" w:rsidR="00353DCF" w:rsidRPr="00B46382" w:rsidRDefault="00855946" w:rsidP="000D238E">
      <w:pPr>
        <w:pStyle w:val="NormalWeb"/>
        <w:spacing w:before="0" w:beforeAutospacing="0" w:after="300" w:afterAutospacing="0"/>
        <w:rPr>
          <w:rFonts w:ascii="Arial" w:hAnsi="Arial" w:cs="Arial"/>
        </w:rPr>
      </w:pPr>
      <w:r w:rsidRPr="00B46382">
        <w:rPr>
          <w:rFonts w:ascii="Arial" w:hAnsi="Arial" w:cs="Arial"/>
        </w:rPr>
        <w:t xml:space="preserve">Dependent of the </w:t>
      </w:r>
      <w:r w:rsidR="00C14503" w:rsidRPr="00B46382">
        <w:rPr>
          <w:rFonts w:ascii="Arial" w:hAnsi="Arial" w:cs="Arial"/>
        </w:rPr>
        <w:t xml:space="preserve">intervention </w:t>
      </w:r>
      <w:r w:rsidRPr="00B46382">
        <w:rPr>
          <w:rFonts w:ascii="Arial" w:hAnsi="Arial" w:cs="Arial"/>
        </w:rPr>
        <w:t>activity</w:t>
      </w:r>
      <w:r w:rsidR="00A930EE" w:rsidRPr="00B46382">
        <w:rPr>
          <w:rFonts w:ascii="Arial" w:hAnsi="Arial" w:cs="Arial"/>
        </w:rPr>
        <w:t xml:space="preserve"> </w:t>
      </w:r>
      <w:r w:rsidRPr="00B46382">
        <w:rPr>
          <w:rFonts w:ascii="Arial" w:hAnsi="Arial" w:cs="Arial"/>
        </w:rPr>
        <w:t xml:space="preserve">and the questions </w:t>
      </w:r>
      <w:r w:rsidR="000F16E2" w:rsidRPr="00B46382">
        <w:rPr>
          <w:rFonts w:ascii="Arial" w:hAnsi="Arial" w:cs="Arial"/>
        </w:rPr>
        <w:t>of focus, q</w:t>
      </w:r>
      <w:r w:rsidR="00353DCF" w:rsidRPr="00B46382">
        <w:rPr>
          <w:rFonts w:ascii="Arial" w:hAnsi="Arial" w:cs="Arial"/>
        </w:rPr>
        <w:t xml:space="preserve">ualitative data </w:t>
      </w:r>
      <w:r w:rsidR="000F16E2" w:rsidRPr="00B46382">
        <w:rPr>
          <w:rFonts w:ascii="Arial" w:hAnsi="Arial" w:cs="Arial"/>
        </w:rPr>
        <w:t>will be</w:t>
      </w:r>
      <w:r w:rsidR="00353DCF" w:rsidRPr="00B46382">
        <w:rPr>
          <w:rFonts w:ascii="Arial" w:hAnsi="Arial" w:cs="Arial"/>
        </w:rPr>
        <w:t xml:space="preserve"> collected using a variety of tools such as interviews, focus groups, case studies, artefacts, capturing personal experiences</w:t>
      </w:r>
      <w:r w:rsidR="00C15B2C" w:rsidRPr="00B46382">
        <w:rPr>
          <w:rFonts w:ascii="Arial" w:hAnsi="Arial" w:cs="Arial"/>
        </w:rPr>
        <w:t>/feelings/emotions</w:t>
      </w:r>
      <w:r w:rsidR="00353DCF" w:rsidRPr="00B46382">
        <w:rPr>
          <w:rFonts w:ascii="Arial" w:hAnsi="Arial" w:cs="Arial"/>
        </w:rPr>
        <w:t xml:space="preserve"> through visual texts</w:t>
      </w:r>
      <w:r w:rsidR="00193A91" w:rsidRPr="00B46382">
        <w:rPr>
          <w:rFonts w:ascii="Arial" w:hAnsi="Arial" w:cs="Arial"/>
        </w:rPr>
        <w:t xml:space="preserve"> </w:t>
      </w:r>
      <w:r w:rsidR="00D331FA" w:rsidRPr="00B46382">
        <w:rPr>
          <w:rFonts w:ascii="Arial" w:hAnsi="Arial" w:cs="Arial"/>
        </w:rPr>
        <w:t>(e.g. images, drawings, video</w:t>
      </w:r>
      <w:r w:rsidR="00216FD9" w:rsidRPr="00B46382">
        <w:rPr>
          <w:rFonts w:ascii="Arial" w:hAnsi="Arial" w:cs="Arial"/>
        </w:rPr>
        <w:t>s)</w:t>
      </w:r>
      <w:r w:rsidR="00E37906" w:rsidRPr="00B46382">
        <w:rPr>
          <w:rFonts w:ascii="Arial" w:hAnsi="Arial" w:cs="Arial"/>
        </w:rPr>
        <w:t xml:space="preserve">, </w:t>
      </w:r>
      <w:r w:rsidR="00353DCF" w:rsidRPr="00B46382">
        <w:rPr>
          <w:rFonts w:ascii="Arial" w:hAnsi="Arial" w:cs="Arial"/>
        </w:rPr>
        <w:t>or direct observations</w:t>
      </w:r>
      <w:r w:rsidR="006A3129" w:rsidRPr="00B46382">
        <w:rPr>
          <w:rFonts w:ascii="Arial" w:hAnsi="Arial" w:cs="Arial"/>
        </w:rPr>
        <w:t xml:space="preserve">. </w:t>
      </w:r>
      <w:r w:rsidR="00591828" w:rsidRPr="00B46382">
        <w:rPr>
          <w:rFonts w:ascii="Arial" w:hAnsi="Arial" w:cs="Arial"/>
        </w:rPr>
        <w:t xml:space="preserve">Creative evaluation </w:t>
      </w:r>
      <w:r w:rsidR="002903B3" w:rsidRPr="00B46382">
        <w:rPr>
          <w:rFonts w:ascii="Arial" w:hAnsi="Arial" w:cs="Arial"/>
        </w:rPr>
        <w:t>may</w:t>
      </w:r>
      <w:r w:rsidR="00591828" w:rsidRPr="00B46382">
        <w:rPr>
          <w:rFonts w:ascii="Arial" w:hAnsi="Arial" w:cs="Arial"/>
        </w:rPr>
        <w:t xml:space="preserve"> reflect on events, for example through the use of storyboarding</w:t>
      </w:r>
      <w:r w:rsidR="000B09EF" w:rsidRPr="00B46382">
        <w:rPr>
          <w:rFonts w:ascii="Arial" w:hAnsi="Arial" w:cs="Arial"/>
        </w:rPr>
        <w:t>.</w:t>
      </w:r>
    </w:p>
    <w:p w14:paraId="1FED2116" w14:textId="5954B3B3" w:rsidR="00CA30C8" w:rsidRPr="00B46382" w:rsidRDefault="004A4DD7" w:rsidP="00CA30C8">
      <w:pPr>
        <w:pStyle w:val="NormalWeb"/>
        <w:spacing w:before="0" w:beforeAutospacing="0" w:after="300" w:afterAutospacing="0"/>
        <w:rPr>
          <w:rFonts w:ascii="Arial" w:hAnsi="Arial" w:cs="Arial"/>
        </w:rPr>
      </w:pPr>
      <w:r w:rsidRPr="00B46382">
        <w:rPr>
          <w:rFonts w:ascii="Arial" w:hAnsi="Arial" w:cs="Arial"/>
        </w:rPr>
        <w:t xml:space="preserve">Where we will use a range of methodologies </w:t>
      </w:r>
      <w:r w:rsidR="007C65B7" w:rsidRPr="00B46382">
        <w:rPr>
          <w:rFonts w:ascii="Arial" w:hAnsi="Arial" w:cs="Arial"/>
        </w:rPr>
        <w:t xml:space="preserve">both qualitatively and quantitatively </w:t>
      </w:r>
      <w:r w:rsidR="002519C2" w:rsidRPr="00B46382">
        <w:rPr>
          <w:rFonts w:ascii="Arial" w:hAnsi="Arial" w:cs="Arial"/>
        </w:rPr>
        <w:t xml:space="preserve">for different intervention activities, we expect that the overall </w:t>
      </w:r>
      <w:r w:rsidR="007C65B7" w:rsidRPr="00B46382">
        <w:rPr>
          <w:rFonts w:ascii="Arial" w:hAnsi="Arial" w:cs="Arial"/>
        </w:rPr>
        <w:t xml:space="preserve">impact evidence </w:t>
      </w:r>
      <w:r w:rsidR="003F005C" w:rsidRPr="00B46382">
        <w:rPr>
          <w:rFonts w:ascii="Arial" w:hAnsi="Arial" w:cs="Arial"/>
        </w:rPr>
        <w:t xml:space="preserve">against our </w:t>
      </w:r>
      <w:r w:rsidR="002519C2" w:rsidRPr="00B46382">
        <w:rPr>
          <w:rFonts w:ascii="Arial" w:hAnsi="Arial" w:cs="Arial"/>
        </w:rPr>
        <w:t xml:space="preserve">objectives </w:t>
      </w:r>
      <w:r w:rsidR="003F005C" w:rsidRPr="00B46382">
        <w:rPr>
          <w:rFonts w:ascii="Arial" w:hAnsi="Arial" w:cs="Arial"/>
        </w:rPr>
        <w:t>to be quantifiable</w:t>
      </w:r>
      <w:r w:rsidR="00C5011C" w:rsidRPr="00B46382">
        <w:rPr>
          <w:rFonts w:ascii="Arial" w:hAnsi="Arial" w:cs="Arial"/>
        </w:rPr>
        <w:t xml:space="preserve"> (i.e. achievement data</w:t>
      </w:r>
      <w:r w:rsidR="00B96234" w:rsidRPr="00B46382">
        <w:rPr>
          <w:rFonts w:ascii="Arial" w:hAnsi="Arial" w:cs="Arial"/>
        </w:rPr>
        <w:t xml:space="preserve"> generated from our </w:t>
      </w:r>
      <w:r w:rsidR="00371AEE" w:rsidRPr="00B46382">
        <w:rPr>
          <w:rFonts w:ascii="Arial" w:hAnsi="Arial" w:cs="Arial"/>
        </w:rPr>
        <w:t>own management information systems</w:t>
      </w:r>
      <w:r w:rsidR="00086807" w:rsidRPr="00B46382">
        <w:rPr>
          <w:rFonts w:ascii="Arial" w:hAnsi="Arial" w:cs="Arial"/>
        </w:rPr>
        <w:t>.</w:t>
      </w:r>
      <w:r w:rsidR="00CA30C8" w:rsidRPr="00B46382">
        <w:rPr>
          <w:rFonts w:ascii="Arial" w:hAnsi="Arial" w:cs="Arial"/>
        </w:rPr>
        <w:t xml:space="preserve"> </w:t>
      </w:r>
    </w:p>
    <w:p w14:paraId="0356EF01" w14:textId="7BE9C39B" w:rsidR="00AF7A1D" w:rsidRPr="00B46382" w:rsidRDefault="00C80D03" w:rsidP="000D238E">
      <w:pPr>
        <w:pStyle w:val="NormalWeb"/>
        <w:spacing w:before="0" w:beforeAutospacing="0" w:after="300" w:afterAutospacing="0"/>
        <w:rPr>
          <w:rFonts w:ascii="Arial" w:hAnsi="Arial" w:cs="Arial"/>
          <w:color w:val="000000" w:themeColor="text1"/>
        </w:rPr>
      </w:pPr>
      <w:r w:rsidRPr="00B46382">
        <w:rPr>
          <w:rFonts w:ascii="Arial" w:hAnsi="Arial" w:cs="Arial"/>
        </w:rPr>
        <w:t>Although we are aware that Type 3: Causality Evidence provides the greatest weighting in terms of validity</w:t>
      </w:r>
      <w:r w:rsidR="00E6614C" w:rsidRPr="00B46382">
        <w:rPr>
          <w:rFonts w:ascii="Arial" w:hAnsi="Arial" w:cs="Arial"/>
        </w:rPr>
        <w:t>, r</w:t>
      </w:r>
      <w:r w:rsidR="00DA3035" w:rsidRPr="00B46382">
        <w:rPr>
          <w:rFonts w:ascii="Arial" w:hAnsi="Arial" w:cs="Arial"/>
        </w:rPr>
        <w:t>eliability</w:t>
      </w:r>
      <w:r w:rsidR="00E6614C" w:rsidRPr="00B46382">
        <w:rPr>
          <w:rFonts w:ascii="Arial" w:hAnsi="Arial" w:cs="Arial"/>
        </w:rPr>
        <w:t xml:space="preserve"> and confidence levels</w:t>
      </w:r>
      <w:r w:rsidR="00DA3035" w:rsidRPr="00B46382">
        <w:rPr>
          <w:rFonts w:ascii="Arial" w:hAnsi="Arial" w:cs="Arial"/>
        </w:rPr>
        <w:t>, w</w:t>
      </w:r>
      <w:r w:rsidR="00072969" w:rsidRPr="00B46382">
        <w:rPr>
          <w:rFonts w:ascii="Arial" w:hAnsi="Arial" w:cs="Arial"/>
        </w:rPr>
        <w:t xml:space="preserve">e do not consider </w:t>
      </w:r>
      <w:r w:rsidR="00DA3035" w:rsidRPr="00B46382">
        <w:rPr>
          <w:rFonts w:ascii="Arial" w:hAnsi="Arial" w:cs="Arial"/>
        </w:rPr>
        <w:t xml:space="preserve">this standard of evidence </w:t>
      </w:r>
      <w:r w:rsidR="00072969" w:rsidRPr="00B46382">
        <w:rPr>
          <w:rFonts w:ascii="Arial" w:hAnsi="Arial" w:cs="Arial"/>
        </w:rPr>
        <w:t xml:space="preserve">to be </w:t>
      </w:r>
      <w:r w:rsidR="003742B5" w:rsidRPr="00B46382">
        <w:rPr>
          <w:rFonts w:ascii="Arial" w:hAnsi="Arial" w:cs="Arial"/>
        </w:rPr>
        <w:t xml:space="preserve">as </w:t>
      </w:r>
      <w:r w:rsidR="00072969" w:rsidRPr="00B46382">
        <w:rPr>
          <w:rFonts w:ascii="Arial" w:hAnsi="Arial" w:cs="Arial"/>
        </w:rPr>
        <w:t>appropriate in our context</w:t>
      </w:r>
      <w:r w:rsidR="00942E93" w:rsidRPr="00B46382">
        <w:rPr>
          <w:rFonts w:ascii="Arial" w:hAnsi="Arial" w:cs="Arial"/>
        </w:rPr>
        <w:t>.</w:t>
      </w:r>
      <w:r w:rsidR="00942E93" w:rsidRPr="00B46382">
        <w:rPr>
          <w:rFonts w:ascii="Arial" w:hAnsi="Arial" w:cs="Arial"/>
          <w:color w:val="000000" w:themeColor="text1"/>
        </w:rPr>
        <w:t xml:space="preserve"> </w:t>
      </w:r>
      <w:r w:rsidR="00C7738D" w:rsidRPr="00B46382">
        <w:rPr>
          <w:rFonts w:ascii="Arial" w:hAnsi="Arial" w:cs="Arial"/>
          <w:color w:val="000000" w:themeColor="text1"/>
        </w:rPr>
        <w:t>D</w:t>
      </w:r>
      <w:r w:rsidR="00942E93" w:rsidRPr="00B46382">
        <w:rPr>
          <w:rFonts w:ascii="Arial" w:hAnsi="Arial" w:cs="Arial"/>
          <w:color w:val="000000" w:themeColor="text1"/>
        </w:rPr>
        <w:t xml:space="preserve">ue </w:t>
      </w:r>
      <w:r w:rsidR="00C7738D" w:rsidRPr="00B46382">
        <w:rPr>
          <w:rFonts w:ascii="Arial" w:hAnsi="Arial" w:cs="Arial"/>
          <w:color w:val="000000" w:themeColor="text1"/>
        </w:rPr>
        <w:t xml:space="preserve">to </w:t>
      </w:r>
      <w:r w:rsidR="00942E93" w:rsidRPr="00B46382">
        <w:rPr>
          <w:rFonts w:ascii="Arial" w:hAnsi="Arial" w:cs="Arial"/>
          <w:color w:val="000000" w:themeColor="text1"/>
        </w:rPr>
        <w:t xml:space="preserve">the </w:t>
      </w:r>
      <w:r w:rsidR="001D65BF" w:rsidRPr="00B46382">
        <w:rPr>
          <w:rFonts w:ascii="Arial" w:hAnsi="Arial" w:cs="Arial"/>
          <w:color w:val="000000" w:themeColor="text1"/>
        </w:rPr>
        <w:t xml:space="preserve">present </w:t>
      </w:r>
      <w:r w:rsidR="00942E93" w:rsidRPr="00B46382">
        <w:rPr>
          <w:rFonts w:ascii="Arial" w:hAnsi="Arial" w:cs="Arial"/>
          <w:color w:val="000000" w:themeColor="text1"/>
        </w:rPr>
        <w:t>small numbers of our HE cohorts</w:t>
      </w:r>
      <w:r w:rsidR="00C7738D" w:rsidRPr="00B46382">
        <w:rPr>
          <w:rFonts w:ascii="Arial" w:hAnsi="Arial" w:cs="Arial"/>
          <w:color w:val="000000" w:themeColor="text1"/>
        </w:rPr>
        <w:t>,</w:t>
      </w:r>
      <w:r w:rsidR="00942E93" w:rsidRPr="00B46382">
        <w:rPr>
          <w:rFonts w:ascii="Arial" w:hAnsi="Arial" w:cs="Arial"/>
          <w:color w:val="000000" w:themeColor="text1"/>
        </w:rPr>
        <w:t xml:space="preserve"> </w:t>
      </w:r>
      <w:r w:rsidR="00C7738D" w:rsidRPr="00B46382">
        <w:rPr>
          <w:rFonts w:ascii="Arial" w:hAnsi="Arial" w:cs="Arial"/>
          <w:color w:val="000000" w:themeColor="text1"/>
        </w:rPr>
        <w:t>w</w:t>
      </w:r>
      <w:r w:rsidR="00942E93" w:rsidRPr="00B46382">
        <w:rPr>
          <w:rFonts w:ascii="Arial" w:hAnsi="Arial" w:cs="Arial"/>
          <w:color w:val="000000" w:themeColor="text1"/>
        </w:rPr>
        <w:t>e do not feel this is feasible in terms of performing random control trials</w:t>
      </w:r>
      <w:r w:rsidR="00BB7F5E" w:rsidRPr="00B46382">
        <w:rPr>
          <w:rFonts w:ascii="Arial" w:hAnsi="Arial" w:cs="Arial"/>
          <w:color w:val="000000" w:themeColor="text1"/>
        </w:rPr>
        <w:t xml:space="preserve"> (RCT)</w:t>
      </w:r>
      <w:r w:rsidR="00942E93" w:rsidRPr="00B46382">
        <w:rPr>
          <w:rFonts w:ascii="Arial" w:hAnsi="Arial" w:cs="Arial"/>
          <w:color w:val="000000" w:themeColor="text1"/>
        </w:rPr>
        <w:t xml:space="preserve">. </w:t>
      </w:r>
      <w:r w:rsidR="00C47EC4" w:rsidRPr="00B46382">
        <w:rPr>
          <w:rFonts w:ascii="Arial" w:hAnsi="Arial" w:cs="Arial"/>
          <w:color w:val="000000" w:themeColor="text1"/>
        </w:rPr>
        <w:t>W</w:t>
      </w:r>
      <w:r w:rsidR="001B71DA" w:rsidRPr="00B46382">
        <w:rPr>
          <w:rFonts w:ascii="Arial" w:hAnsi="Arial" w:cs="Arial"/>
          <w:color w:val="000000" w:themeColor="text1"/>
        </w:rPr>
        <w:t>e</w:t>
      </w:r>
      <w:r w:rsidR="00C47EC4" w:rsidRPr="00B46382">
        <w:rPr>
          <w:rFonts w:ascii="Arial" w:hAnsi="Arial" w:cs="Arial"/>
          <w:color w:val="000000" w:themeColor="text1"/>
        </w:rPr>
        <w:t xml:space="preserve"> </w:t>
      </w:r>
      <w:r w:rsidR="00AD3AB2" w:rsidRPr="00B46382">
        <w:rPr>
          <w:rFonts w:ascii="Arial" w:hAnsi="Arial" w:cs="Arial"/>
          <w:color w:val="000000" w:themeColor="text1"/>
        </w:rPr>
        <w:t xml:space="preserve">expect that the </w:t>
      </w:r>
      <w:r w:rsidR="00C47EC4" w:rsidRPr="00B46382">
        <w:rPr>
          <w:rFonts w:ascii="Arial" w:hAnsi="Arial" w:cs="Arial"/>
          <w:color w:val="000000" w:themeColor="text1"/>
        </w:rPr>
        <w:t xml:space="preserve">small numbers of students that we presently experience, </w:t>
      </w:r>
      <w:r w:rsidR="009473B1" w:rsidRPr="00B46382">
        <w:rPr>
          <w:rFonts w:ascii="Arial" w:hAnsi="Arial" w:cs="Arial"/>
          <w:color w:val="000000" w:themeColor="text1"/>
        </w:rPr>
        <w:t>w</w:t>
      </w:r>
      <w:r w:rsidR="004E3AD6" w:rsidRPr="00B46382">
        <w:rPr>
          <w:rFonts w:ascii="Arial" w:hAnsi="Arial" w:cs="Arial"/>
          <w:color w:val="000000" w:themeColor="text1"/>
        </w:rPr>
        <w:t>ill</w:t>
      </w:r>
      <w:r w:rsidR="009473B1" w:rsidRPr="00B46382">
        <w:rPr>
          <w:rFonts w:ascii="Arial" w:hAnsi="Arial" w:cs="Arial"/>
          <w:color w:val="000000" w:themeColor="text1"/>
        </w:rPr>
        <w:t xml:space="preserve"> </w:t>
      </w:r>
      <w:r w:rsidR="00AD3AB2" w:rsidRPr="00B46382">
        <w:rPr>
          <w:rFonts w:ascii="Arial" w:hAnsi="Arial" w:cs="Arial"/>
          <w:color w:val="000000" w:themeColor="text1"/>
        </w:rPr>
        <w:t xml:space="preserve">limit </w:t>
      </w:r>
      <w:r w:rsidR="004E3AD6" w:rsidRPr="00B46382">
        <w:rPr>
          <w:rFonts w:ascii="Arial" w:hAnsi="Arial" w:cs="Arial"/>
          <w:color w:val="000000" w:themeColor="text1"/>
        </w:rPr>
        <w:t xml:space="preserve">our ability </w:t>
      </w:r>
      <w:r w:rsidR="009473B1" w:rsidRPr="00B46382">
        <w:rPr>
          <w:rFonts w:ascii="Arial" w:hAnsi="Arial" w:cs="Arial"/>
          <w:color w:val="000000" w:themeColor="text1"/>
        </w:rPr>
        <w:t xml:space="preserve">to </w:t>
      </w:r>
      <w:r w:rsidR="001B71DA" w:rsidRPr="00B46382">
        <w:rPr>
          <w:rFonts w:ascii="Arial" w:hAnsi="Arial" w:cs="Arial"/>
          <w:color w:val="000000" w:themeColor="text1"/>
        </w:rPr>
        <w:t xml:space="preserve">reduce </w:t>
      </w:r>
      <w:r w:rsidR="00AD3AB2" w:rsidRPr="00B46382">
        <w:rPr>
          <w:rFonts w:ascii="Arial" w:hAnsi="Arial" w:cs="Arial"/>
          <w:color w:val="000000" w:themeColor="text1"/>
        </w:rPr>
        <w:t xml:space="preserve">confounding </w:t>
      </w:r>
      <w:r w:rsidR="004E3AD6" w:rsidRPr="00B46382">
        <w:rPr>
          <w:rFonts w:ascii="Arial" w:hAnsi="Arial" w:cs="Arial"/>
          <w:color w:val="000000" w:themeColor="text1"/>
        </w:rPr>
        <w:t xml:space="preserve">study </w:t>
      </w:r>
      <w:r w:rsidR="00AD3AB2" w:rsidRPr="00B46382">
        <w:rPr>
          <w:rFonts w:ascii="Arial" w:hAnsi="Arial" w:cs="Arial"/>
          <w:color w:val="000000" w:themeColor="text1"/>
        </w:rPr>
        <w:t>variables</w:t>
      </w:r>
      <w:r w:rsidR="008C5192" w:rsidRPr="00B46382">
        <w:rPr>
          <w:rFonts w:ascii="Arial" w:hAnsi="Arial" w:cs="Arial"/>
          <w:color w:val="000000" w:themeColor="text1"/>
        </w:rPr>
        <w:t xml:space="preserve"> and therefore impact on the validity of any </w:t>
      </w:r>
      <w:r w:rsidR="00BB7F5E" w:rsidRPr="00B46382">
        <w:rPr>
          <w:rFonts w:ascii="Arial" w:hAnsi="Arial" w:cs="Arial"/>
          <w:color w:val="000000" w:themeColor="text1"/>
        </w:rPr>
        <w:t xml:space="preserve">RCT </w:t>
      </w:r>
      <w:r w:rsidR="008C5192" w:rsidRPr="00B46382">
        <w:rPr>
          <w:rFonts w:ascii="Arial" w:hAnsi="Arial" w:cs="Arial"/>
          <w:color w:val="000000" w:themeColor="text1"/>
        </w:rPr>
        <w:t>study</w:t>
      </w:r>
      <w:r w:rsidR="00972A92" w:rsidRPr="00B46382">
        <w:rPr>
          <w:rFonts w:ascii="Arial" w:hAnsi="Arial" w:cs="Arial"/>
          <w:color w:val="000000" w:themeColor="text1"/>
        </w:rPr>
        <w:t xml:space="preserve">. </w:t>
      </w:r>
      <w:r w:rsidR="00E045E7" w:rsidRPr="00B46382">
        <w:rPr>
          <w:rFonts w:ascii="Arial" w:hAnsi="Arial" w:cs="Arial"/>
          <w:color w:val="000000" w:themeColor="text1"/>
        </w:rPr>
        <w:t xml:space="preserve">Paired analysis </w:t>
      </w:r>
      <w:r w:rsidR="00814F2C" w:rsidRPr="00B46382">
        <w:rPr>
          <w:rFonts w:ascii="Arial" w:hAnsi="Arial" w:cs="Arial"/>
          <w:color w:val="000000" w:themeColor="text1"/>
        </w:rPr>
        <w:t>(</w:t>
      </w:r>
      <w:r w:rsidR="00E045E7" w:rsidRPr="00B46382">
        <w:rPr>
          <w:rFonts w:ascii="Arial" w:hAnsi="Arial" w:cs="Arial"/>
          <w:color w:val="000000" w:themeColor="text1"/>
        </w:rPr>
        <w:t xml:space="preserve">e.g. between </w:t>
      </w:r>
      <w:r w:rsidR="00814F2C" w:rsidRPr="00B46382">
        <w:rPr>
          <w:rFonts w:ascii="Arial" w:hAnsi="Arial" w:cs="Arial"/>
          <w:color w:val="000000" w:themeColor="text1"/>
        </w:rPr>
        <w:t>socio-economic groups IMD 1-2 and 3-</w:t>
      </w:r>
      <w:r w:rsidR="004B642C" w:rsidRPr="00B46382">
        <w:rPr>
          <w:rFonts w:ascii="Arial" w:hAnsi="Arial" w:cs="Arial"/>
          <w:color w:val="000000" w:themeColor="text1"/>
        </w:rPr>
        <w:t>10</w:t>
      </w:r>
      <w:r w:rsidR="00814F2C" w:rsidRPr="00B46382">
        <w:rPr>
          <w:rFonts w:ascii="Arial" w:hAnsi="Arial" w:cs="Arial"/>
          <w:color w:val="000000" w:themeColor="text1"/>
        </w:rPr>
        <w:t xml:space="preserve">) </w:t>
      </w:r>
      <w:r w:rsidR="00972A92" w:rsidRPr="00B46382">
        <w:rPr>
          <w:rFonts w:ascii="Arial" w:hAnsi="Arial" w:cs="Arial"/>
          <w:color w:val="000000" w:themeColor="text1"/>
        </w:rPr>
        <w:t xml:space="preserve">would also </w:t>
      </w:r>
      <w:r w:rsidR="00814F2C" w:rsidRPr="00B46382">
        <w:rPr>
          <w:rFonts w:ascii="Arial" w:hAnsi="Arial" w:cs="Arial"/>
          <w:color w:val="000000" w:themeColor="text1"/>
        </w:rPr>
        <w:t xml:space="preserve">prove </w:t>
      </w:r>
      <w:r w:rsidR="00972A92" w:rsidRPr="00B46382">
        <w:rPr>
          <w:rFonts w:ascii="Arial" w:hAnsi="Arial" w:cs="Arial"/>
          <w:color w:val="000000" w:themeColor="text1"/>
        </w:rPr>
        <w:t xml:space="preserve">difficult </w:t>
      </w:r>
      <w:r w:rsidR="00C6284C" w:rsidRPr="00B46382">
        <w:rPr>
          <w:rFonts w:ascii="Arial" w:hAnsi="Arial" w:cs="Arial"/>
          <w:color w:val="000000" w:themeColor="text1"/>
        </w:rPr>
        <w:t>with</w:t>
      </w:r>
      <w:r w:rsidR="00972A92" w:rsidRPr="00B46382">
        <w:rPr>
          <w:rFonts w:ascii="Arial" w:hAnsi="Arial" w:cs="Arial"/>
          <w:color w:val="000000" w:themeColor="text1"/>
        </w:rPr>
        <w:t xml:space="preserve"> small cohort numbers.</w:t>
      </w:r>
      <w:r w:rsidR="00B371C5" w:rsidRPr="00B46382">
        <w:rPr>
          <w:rFonts w:ascii="Arial" w:hAnsi="Arial" w:cs="Arial"/>
          <w:color w:val="000000" w:themeColor="text1"/>
        </w:rPr>
        <w:t xml:space="preserve"> </w:t>
      </w:r>
      <w:r w:rsidR="003A41E5" w:rsidRPr="00B46382">
        <w:rPr>
          <w:rFonts w:ascii="Arial" w:hAnsi="Arial" w:cs="Arial"/>
          <w:color w:val="000000" w:themeColor="text1"/>
        </w:rPr>
        <w:t xml:space="preserve">The impact of </w:t>
      </w:r>
      <w:r w:rsidR="009A2518" w:rsidRPr="00B46382">
        <w:rPr>
          <w:rFonts w:ascii="Arial" w:hAnsi="Arial" w:cs="Arial"/>
          <w:color w:val="000000" w:themeColor="text1"/>
        </w:rPr>
        <w:t xml:space="preserve">study </w:t>
      </w:r>
      <w:r w:rsidR="003A41E5" w:rsidRPr="00B46382">
        <w:rPr>
          <w:rFonts w:ascii="Arial" w:hAnsi="Arial" w:cs="Arial"/>
          <w:color w:val="000000" w:themeColor="text1"/>
        </w:rPr>
        <w:t xml:space="preserve">drop-out would </w:t>
      </w:r>
      <w:r w:rsidR="00B371C5" w:rsidRPr="00B46382">
        <w:rPr>
          <w:rFonts w:ascii="Arial" w:hAnsi="Arial" w:cs="Arial"/>
          <w:color w:val="000000" w:themeColor="text1"/>
        </w:rPr>
        <w:t>also be more detrimental</w:t>
      </w:r>
      <w:r w:rsidR="00943901" w:rsidRPr="00B46382">
        <w:rPr>
          <w:rFonts w:ascii="Arial" w:hAnsi="Arial" w:cs="Arial"/>
          <w:color w:val="000000" w:themeColor="text1"/>
        </w:rPr>
        <w:t xml:space="preserve"> with small numbers</w:t>
      </w:r>
      <w:r w:rsidR="003A41E5" w:rsidRPr="00B46382">
        <w:rPr>
          <w:rFonts w:ascii="Arial" w:hAnsi="Arial" w:cs="Arial"/>
          <w:color w:val="000000" w:themeColor="text1"/>
        </w:rPr>
        <w:t xml:space="preserve">. </w:t>
      </w:r>
      <w:r w:rsidR="00FE7876" w:rsidRPr="00B46382">
        <w:rPr>
          <w:rFonts w:ascii="Arial" w:hAnsi="Arial" w:cs="Arial"/>
          <w:color w:val="000000" w:themeColor="text1"/>
        </w:rPr>
        <w:t>W</w:t>
      </w:r>
      <w:r w:rsidR="00873FC9" w:rsidRPr="00B46382">
        <w:rPr>
          <w:rFonts w:ascii="Arial" w:hAnsi="Arial" w:cs="Arial"/>
          <w:color w:val="000000" w:themeColor="text1"/>
        </w:rPr>
        <w:t>ith consideration of EDI, w</w:t>
      </w:r>
      <w:r w:rsidR="00942E93" w:rsidRPr="00B46382">
        <w:rPr>
          <w:rFonts w:ascii="Arial" w:hAnsi="Arial" w:cs="Arial"/>
          <w:color w:val="000000" w:themeColor="text1"/>
        </w:rPr>
        <w:t xml:space="preserve">e wish to support all students in accessing the intervention activities, particularly those we </w:t>
      </w:r>
      <w:r w:rsidR="002C787C" w:rsidRPr="00B46382">
        <w:rPr>
          <w:rFonts w:ascii="Arial" w:hAnsi="Arial" w:cs="Arial"/>
          <w:color w:val="000000" w:themeColor="text1"/>
        </w:rPr>
        <w:t>will</w:t>
      </w:r>
      <w:r w:rsidR="00942E93" w:rsidRPr="00B46382">
        <w:rPr>
          <w:rFonts w:ascii="Arial" w:hAnsi="Arial" w:cs="Arial"/>
          <w:color w:val="000000" w:themeColor="text1"/>
        </w:rPr>
        <w:t xml:space="preserve"> identif</w:t>
      </w:r>
      <w:r w:rsidR="002C787C" w:rsidRPr="00B46382">
        <w:rPr>
          <w:rFonts w:ascii="Arial" w:hAnsi="Arial" w:cs="Arial"/>
          <w:color w:val="000000" w:themeColor="text1"/>
        </w:rPr>
        <w:t>y</w:t>
      </w:r>
      <w:r w:rsidR="00942E93" w:rsidRPr="00B46382">
        <w:rPr>
          <w:rFonts w:ascii="Arial" w:hAnsi="Arial" w:cs="Arial"/>
          <w:color w:val="000000" w:themeColor="text1"/>
        </w:rPr>
        <w:t xml:space="preserve"> as deriving from target groups. Therefore, we would not choose to assign any of our students to a control group and limit their opportunities</w:t>
      </w:r>
      <w:r w:rsidR="00800D1F" w:rsidRPr="00B46382">
        <w:rPr>
          <w:rFonts w:ascii="Arial" w:hAnsi="Arial" w:cs="Arial"/>
          <w:color w:val="000000" w:themeColor="text1"/>
        </w:rPr>
        <w:t xml:space="preserve"> to succeed</w:t>
      </w:r>
      <w:r w:rsidR="00873FC9" w:rsidRPr="00B46382">
        <w:rPr>
          <w:rFonts w:ascii="Arial" w:hAnsi="Arial" w:cs="Arial"/>
          <w:color w:val="000000" w:themeColor="text1"/>
        </w:rPr>
        <w:t>, particularly considering our small HE cohort</w:t>
      </w:r>
      <w:r w:rsidR="00235664" w:rsidRPr="00B46382">
        <w:rPr>
          <w:rFonts w:ascii="Arial" w:hAnsi="Arial" w:cs="Arial"/>
          <w:color w:val="000000" w:themeColor="text1"/>
        </w:rPr>
        <w:t xml:space="preserve"> at this time</w:t>
      </w:r>
      <w:r w:rsidR="00CD46B2" w:rsidRPr="00B46382">
        <w:rPr>
          <w:rFonts w:ascii="Arial" w:hAnsi="Arial" w:cs="Arial"/>
          <w:color w:val="000000" w:themeColor="text1"/>
        </w:rPr>
        <w:t xml:space="preserve">. </w:t>
      </w:r>
      <w:r w:rsidR="008507B3" w:rsidRPr="00B46382">
        <w:rPr>
          <w:rFonts w:ascii="Arial" w:hAnsi="Arial" w:cs="Arial"/>
          <w:color w:val="000000" w:themeColor="text1"/>
        </w:rPr>
        <w:t xml:space="preserve">See Evaluation Section </w:t>
      </w:r>
      <w:r w:rsidR="00185220" w:rsidRPr="00B46382">
        <w:rPr>
          <w:rFonts w:ascii="Arial" w:hAnsi="Arial" w:cs="Arial"/>
          <w:color w:val="000000" w:themeColor="text1"/>
        </w:rPr>
        <w:t xml:space="preserve">later </w:t>
      </w:r>
      <w:r w:rsidR="008507B3" w:rsidRPr="00B46382">
        <w:rPr>
          <w:rFonts w:ascii="Arial" w:hAnsi="Arial" w:cs="Arial"/>
          <w:color w:val="000000" w:themeColor="text1"/>
        </w:rPr>
        <w:t>for more</w:t>
      </w:r>
      <w:r w:rsidR="00827EC7" w:rsidRPr="00B46382">
        <w:rPr>
          <w:rFonts w:ascii="Arial" w:hAnsi="Arial" w:cs="Arial"/>
          <w:color w:val="000000" w:themeColor="text1"/>
        </w:rPr>
        <w:t xml:space="preserve"> detail on learning </w:t>
      </w:r>
      <w:r w:rsidR="00185220" w:rsidRPr="00B46382">
        <w:rPr>
          <w:rFonts w:ascii="Arial" w:hAnsi="Arial" w:cs="Arial"/>
          <w:color w:val="000000" w:themeColor="text1"/>
        </w:rPr>
        <w:t xml:space="preserve">form </w:t>
      </w:r>
      <w:r w:rsidR="00827EC7" w:rsidRPr="00B46382">
        <w:rPr>
          <w:rFonts w:ascii="Arial" w:hAnsi="Arial" w:cs="Arial"/>
          <w:color w:val="000000" w:themeColor="text1"/>
        </w:rPr>
        <w:t xml:space="preserve">and dissemination of </w:t>
      </w:r>
      <w:r w:rsidR="00363CE4" w:rsidRPr="00B46382">
        <w:rPr>
          <w:rFonts w:ascii="Arial" w:hAnsi="Arial" w:cs="Arial"/>
          <w:color w:val="000000" w:themeColor="text1"/>
        </w:rPr>
        <w:t>findings</w:t>
      </w:r>
      <w:r w:rsidR="00185220" w:rsidRPr="00B46382">
        <w:rPr>
          <w:rFonts w:ascii="Arial" w:hAnsi="Arial" w:cs="Arial"/>
          <w:color w:val="000000" w:themeColor="text1"/>
        </w:rPr>
        <w:t xml:space="preserve"> and our evaluation strategy</w:t>
      </w:r>
      <w:r w:rsidR="00363CE4" w:rsidRPr="00B46382">
        <w:rPr>
          <w:rFonts w:ascii="Arial" w:hAnsi="Arial" w:cs="Arial"/>
          <w:color w:val="000000" w:themeColor="text1"/>
        </w:rPr>
        <w:t>.</w:t>
      </w:r>
      <w:r w:rsidR="008507B3" w:rsidRPr="00B46382">
        <w:rPr>
          <w:rFonts w:ascii="Arial" w:hAnsi="Arial" w:cs="Arial"/>
          <w:color w:val="000000" w:themeColor="text1"/>
        </w:rPr>
        <w:t xml:space="preserve"> </w:t>
      </w:r>
    </w:p>
    <w:p w14:paraId="28D22A7D" w14:textId="77777777" w:rsidR="00207AC3" w:rsidRPr="00B46382" w:rsidRDefault="00207AC3" w:rsidP="000D238E">
      <w:pPr>
        <w:pStyle w:val="NormalWeb"/>
        <w:spacing w:before="0" w:beforeAutospacing="0" w:after="300" w:afterAutospacing="0"/>
        <w:rPr>
          <w:rFonts w:ascii="Arial" w:hAnsi="Arial" w:cs="Arial"/>
        </w:rPr>
      </w:pPr>
    </w:p>
    <w:p w14:paraId="093A7817" w14:textId="5A3ADA7E" w:rsidR="004D362C" w:rsidRPr="00A42B25" w:rsidRDefault="00A42B25" w:rsidP="00A42B25">
      <w:pPr>
        <w:pStyle w:val="Heading3"/>
      </w:pPr>
      <w:r w:rsidRPr="00A42B25">
        <w:t>4.4 Intervention Strategy 2</w:t>
      </w:r>
    </w:p>
    <w:p w14:paraId="45FE24A8" w14:textId="77777777" w:rsidR="00A42B25" w:rsidRDefault="00A42B25" w:rsidP="00A42B25">
      <w:pPr>
        <w:rPr>
          <w:color w:val="FF0000"/>
        </w:rPr>
      </w:pPr>
      <w:r w:rsidRPr="00A42B25">
        <w:rPr>
          <w:bCs/>
          <w:color w:val="333333"/>
        </w:rPr>
        <w:t>Objectives and targets:</w:t>
      </w:r>
      <w:r>
        <w:rPr>
          <w:color w:val="333333"/>
        </w:rPr>
        <w:t xml:space="preserve"> </w:t>
      </w:r>
      <w:r w:rsidRPr="009E62A5">
        <w:t xml:space="preserve">to reduce the achievement gap between young and mature students from 17.50% in 2022/23 to </w:t>
      </w:r>
      <w:r>
        <w:t>2</w:t>
      </w:r>
      <w:r w:rsidRPr="009E62A5">
        <w:t>% in 2028/29</w:t>
      </w:r>
      <w:r w:rsidRPr="001A039A">
        <w:rPr>
          <w:color w:val="000000" w:themeColor="text1"/>
        </w:rPr>
        <w:t>. (Target PTS_2</w:t>
      </w:r>
      <w:r>
        <w:rPr>
          <w:color w:val="000000" w:themeColor="text1"/>
        </w:rPr>
        <w:t>)</w:t>
      </w:r>
    </w:p>
    <w:p w14:paraId="41D11C12" w14:textId="77777777" w:rsidR="00A42B25" w:rsidRPr="007871AF" w:rsidRDefault="00A42B25" w:rsidP="00A42B25">
      <w:pPr>
        <w:rPr>
          <w:color w:val="000000" w:themeColor="text1"/>
        </w:rPr>
      </w:pPr>
      <w:r w:rsidRPr="007871AF">
        <w:rPr>
          <w:color w:val="000000" w:themeColor="text1"/>
        </w:rPr>
        <w:t>Secondary Objective(s): PTS_1</w:t>
      </w:r>
      <w:r>
        <w:rPr>
          <w:color w:val="000000" w:themeColor="text1"/>
        </w:rPr>
        <w:t xml:space="preserve"> (IS1)</w:t>
      </w:r>
    </w:p>
    <w:p w14:paraId="0E2EAC9E" w14:textId="77777777" w:rsidR="00A42B25" w:rsidRPr="009360FA" w:rsidRDefault="00A42B25" w:rsidP="00A42B25">
      <w:pPr>
        <w:rPr>
          <w:color w:val="333333"/>
        </w:rPr>
      </w:pPr>
      <w:r>
        <w:t xml:space="preserve">Risks to equality of opportunity: </w:t>
      </w:r>
      <w:r w:rsidRPr="00A42B25">
        <w:rPr>
          <w:bCs/>
        </w:rPr>
        <w:t xml:space="preserve">1. Knowledge and Skills, 2. Information and Guidance, 3. Perception of HE, 5. Limited choice of course type and delivery mode </w:t>
      </w:r>
      <w:r w:rsidRPr="00A42B25">
        <w:rPr>
          <w:bCs/>
          <w:color w:val="000000" w:themeColor="text1"/>
        </w:rPr>
        <w:t>7. Insufficient Academic Support, 8. Mental Health, 10. Cost Pressures</w:t>
      </w:r>
    </w:p>
    <w:p w14:paraId="0BD35E52" w14:textId="77777777" w:rsidR="005475A6" w:rsidRPr="005475A6" w:rsidRDefault="005475A6" w:rsidP="005475A6">
      <w:pPr>
        <w:pStyle w:val="Heading4"/>
      </w:pPr>
      <w:r w:rsidRPr="005475A6">
        <w:t>4.4.1 IS2.1 Raising Aspirations Taster Days for secondary schools (e.g. year 10)</w:t>
      </w:r>
    </w:p>
    <w:p w14:paraId="16AEABB6" w14:textId="629ABB3E" w:rsidR="00A42B25" w:rsidRPr="005475A6" w:rsidRDefault="005475A6" w:rsidP="005475A6">
      <w:r w:rsidRPr="005475A6">
        <w:t xml:space="preserve">Activity: </w:t>
      </w:r>
      <w:r w:rsidRPr="005475A6">
        <w:t xml:space="preserve">Existing FE Taster Days will now link directly to raising aspirations around our HE pathways and related careers </w:t>
      </w:r>
      <w:r w:rsidRPr="005475A6">
        <w:rPr>
          <w:b/>
          <w:bCs/>
        </w:rPr>
        <w:t>(Enhanced activity).</w:t>
      </w:r>
    </w:p>
    <w:p w14:paraId="204A6C73" w14:textId="4401C5C7" w:rsidR="00A42B25" w:rsidRPr="005475A6" w:rsidRDefault="005475A6" w:rsidP="005475A6">
      <w:pPr>
        <w:rPr>
          <w:rFonts w:eastAsia="Times New Roman" w:cs="Arial"/>
          <w:szCs w:val="24"/>
          <w:lang w:eastAsia="en-GB"/>
        </w:rPr>
      </w:pPr>
      <w:r w:rsidRPr="005475A6">
        <w:rPr>
          <w:rFonts w:cs="Arial"/>
        </w:rPr>
        <w:t xml:space="preserve">Inputs: </w:t>
      </w:r>
      <w:r w:rsidRPr="005475A6">
        <w:rPr>
          <w:rFonts w:eastAsia="Times New Roman" w:cs="Arial"/>
          <w:szCs w:val="24"/>
          <w:lang w:eastAsia="en-GB"/>
        </w:rPr>
        <w:t>Staff time:</w:t>
      </w:r>
      <w:r w:rsidRPr="005475A6">
        <w:rPr>
          <w:rFonts w:eastAsia="Times New Roman" w:cs="Arial"/>
          <w:szCs w:val="24"/>
          <w:lang w:eastAsia="en-GB"/>
        </w:rPr>
        <w:t xml:space="preserve"> </w:t>
      </w:r>
      <w:r w:rsidRPr="005475A6">
        <w:rPr>
          <w:rFonts w:eastAsia="Times New Roman" w:cs="Arial"/>
          <w:szCs w:val="24"/>
          <w:lang w:eastAsia="en-GB"/>
        </w:rPr>
        <w:t>Academic staff (time and planning)</w:t>
      </w:r>
      <w:r w:rsidRPr="005475A6">
        <w:rPr>
          <w:rFonts w:eastAsia="Times New Roman" w:cs="Arial"/>
          <w:szCs w:val="24"/>
          <w:lang w:eastAsia="en-GB"/>
        </w:rPr>
        <w:t xml:space="preserve">. </w:t>
      </w:r>
      <w:r w:rsidRPr="005475A6">
        <w:rPr>
          <w:rFonts w:eastAsia="Times New Roman" w:cs="Arial"/>
          <w:szCs w:val="24"/>
          <w:lang w:eastAsia="en-GB"/>
        </w:rPr>
        <w:t>Outreach Officer (development of resource linked to HE pathways).</w:t>
      </w:r>
    </w:p>
    <w:p w14:paraId="26B45752" w14:textId="7F994CE8" w:rsidR="005475A6" w:rsidRPr="005475A6" w:rsidRDefault="005475A6" w:rsidP="005475A6">
      <w:pPr>
        <w:rPr>
          <w:rFonts w:cs="Arial"/>
          <w:szCs w:val="24"/>
        </w:rPr>
      </w:pPr>
      <w:r w:rsidRPr="005475A6">
        <w:rPr>
          <w:rFonts w:cs="Arial"/>
        </w:rPr>
        <w:t xml:space="preserve">Outcomes: </w:t>
      </w:r>
      <w:r w:rsidRPr="005475A6">
        <w:rPr>
          <w:rFonts w:cs="Arial"/>
          <w:szCs w:val="24"/>
        </w:rPr>
        <w:t>Increased student perception of HE</w:t>
      </w:r>
      <w:r w:rsidRPr="005475A6">
        <w:rPr>
          <w:rFonts w:cs="Arial"/>
          <w:szCs w:val="24"/>
        </w:rPr>
        <w:t xml:space="preserve">. </w:t>
      </w:r>
      <w:r w:rsidRPr="005475A6">
        <w:rPr>
          <w:rFonts w:cs="Arial"/>
          <w:szCs w:val="24"/>
        </w:rPr>
        <w:t xml:space="preserve">Increased student confidence and aspiration for HE </w:t>
      </w:r>
      <w:proofErr w:type="gramStart"/>
      <w:r w:rsidRPr="005475A6">
        <w:rPr>
          <w:rFonts w:cs="Arial"/>
          <w:szCs w:val="24"/>
        </w:rPr>
        <w:t>study</w:t>
      </w:r>
      <w:proofErr w:type="gramEnd"/>
    </w:p>
    <w:p w14:paraId="3728509A" w14:textId="075A3787" w:rsidR="005475A6" w:rsidRPr="005475A6" w:rsidRDefault="005475A6" w:rsidP="005475A6">
      <w:pPr>
        <w:rPr>
          <w:rFonts w:eastAsia="Times New Roman" w:cs="Arial"/>
          <w:szCs w:val="24"/>
          <w:lang w:eastAsia="en-GB"/>
        </w:rPr>
      </w:pPr>
      <w:r w:rsidRPr="005475A6">
        <w:rPr>
          <w:rFonts w:cs="Arial"/>
          <w:szCs w:val="24"/>
        </w:rPr>
        <w:t xml:space="preserve">Cross Intervention: </w:t>
      </w:r>
      <w:r w:rsidRPr="005475A6">
        <w:rPr>
          <w:rFonts w:eastAsia="Times New Roman" w:cs="Arial"/>
          <w:szCs w:val="24"/>
          <w:lang w:eastAsia="en-GB"/>
        </w:rPr>
        <w:t>IS1</w:t>
      </w:r>
      <w:r w:rsidRPr="005475A6">
        <w:rPr>
          <w:rFonts w:eastAsia="Times New Roman" w:cs="Arial"/>
          <w:szCs w:val="24"/>
          <w:lang w:eastAsia="en-GB"/>
        </w:rPr>
        <w:t xml:space="preserve"> </w:t>
      </w:r>
      <w:r w:rsidRPr="005475A6">
        <w:rPr>
          <w:rFonts w:cs="Arial"/>
          <w:szCs w:val="24"/>
        </w:rPr>
        <w:t>(This activity links directly to EORR Risks:1,2,3)</w:t>
      </w:r>
    </w:p>
    <w:p w14:paraId="4E67A0D2" w14:textId="44387EFE" w:rsidR="005475A6" w:rsidRPr="005475A6" w:rsidRDefault="005475A6" w:rsidP="005475A6">
      <w:pPr>
        <w:pStyle w:val="Heading4"/>
      </w:pPr>
      <w:r w:rsidRPr="005475A6">
        <w:t>4.</w:t>
      </w:r>
      <w:r>
        <w:t>4</w:t>
      </w:r>
      <w:r w:rsidRPr="005475A6">
        <w:t xml:space="preserve">.2 </w:t>
      </w:r>
      <w:r w:rsidRPr="005475A6">
        <w:rPr>
          <w:rStyle w:val="normaltextrun"/>
        </w:rPr>
        <w:t xml:space="preserve">IS2.2 GHWY/KC Collaborative Bespoke Events </w:t>
      </w:r>
      <w:r w:rsidRPr="005475A6">
        <w:rPr>
          <w:rStyle w:val="scxw168294808"/>
        </w:rPr>
        <w:t> </w:t>
      </w:r>
    </w:p>
    <w:p w14:paraId="6E66FA11" w14:textId="64BB743B" w:rsidR="005475A6" w:rsidRPr="005475A6" w:rsidRDefault="005475A6" w:rsidP="005475A6">
      <w:pPr>
        <w:rPr>
          <w:rStyle w:val="eop"/>
          <w:rFonts w:cs="Arial"/>
          <w:color w:val="000000"/>
          <w:szCs w:val="24"/>
        </w:rPr>
      </w:pPr>
      <w:r>
        <w:rPr>
          <w:rStyle w:val="normaltextrun"/>
          <w:rFonts w:eastAsiaTheme="minorEastAsia" w:cs="Arial"/>
        </w:rPr>
        <w:t xml:space="preserve">Activity: </w:t>
      </w:r>
      <w:r w:rsidRPr="00B46382">
        <w:rPr>
          <w:rStyle w:val="normaltextrun"/>
          <w:rFonts w:eastAsiaTheme="minorEastAsia" w:cs="Arial"/>
          <w:szCs w:val="24"/>
        </w:rPr>
        <w:t xml:space="preserve">KC have a history of delivering bespoke events designed to increase </w:t>
      </w:r>
      <w:proofErr w:type="gramStart"/>
      <w:r w:rsidRPr="00B46382">
        <w:rPr>
          <w:rStyle w:val="normaltextrun"/>
          <w:rFonts w:eastAsiaTheme="minorEastAsia" w:cs="Arial"/>
          <w:szCs w:val="24"/>
        </w:rPr>
        <w:t>learners</w:t>
      </w:r>
      <w:proofErr w:type="gramEnd"/>
      <w:r w:rsidRPr="00B46382">
        <w:rPr>
          <w:rStyle w:val="normaltextrun"/>
          <w:rFonts w:eastAsiaTheme="minorEastAsia" w:cs="Arial"/>
          <w:szCs w:val="24"/>
        </w:rPr>
        <w:t xml:space="preserve"> knowledge and aspirations of attending Higher Education. In collaboration with GHWY, these events include examples such as the Building Bridges into Engineering event where learners from local, targeted schools across multiple year groups take part in a series of workshops and challenges hosted at KC industry standard facilities </w:t>
      </w:r>
      <w:r w:rsidRPr="00B46382">
        <w:rPr>
          <w:rStyle w:val="normaltextrun"/>
          <w:rFonts w:eastAsiaTheme="minorEastAsia" w:cs="Arial"/>
          <w:b/>
          <w:bCs/>
          <w:color w:val="000000"/>
          <w:szCs w:val="24"/>
        </w:rPr>
        <w:t>(Existing Activity) </w:t>
      </w:r>
      <w:r w:rsidRPr="00B46382">
        <w:rPr>
          <w:rStyle w:val="eop"/>
          <w:rFonts w:cs="Arial"/>
          <w:color w:val="000000"/>
          <w:szCs w:val="24"/>
        </w:rPr>
        <w:t> </w:t>
      </w:r>
    </w:p>
    <w:p w14:paraId="72DF93EB" w14:textId="12BAD32B" w:rsidR="005475A6" w:rsidRDefault="005475A6" w:rsidP="005475A6">
      <w:pPr>
        <w:rPr>
          <w:rStyle w:val="eop"/>
          <w:rFonts w:cs="Arial"/>
          <w:color w:val="000000" w:themeColor="text1"/>
        </w:rPr>
      </w:pPr>
      <w:r w:rsidRPr="00B46382">
        <w:rPr>
          <w:rStyle w:val="eop"/>
          <w:rFonts w:cs="Arial"/>
          <w:color w:val="000000"/>
          <w:szCs w:val="24"/>
        </w:rPr>
        <w:t xml:space="preserve">This </w:t>
      </w:r>
      <w:r w:rsidRPr="00B46382">
        <w:rPr>
          <w:rStyle w:val="eop"/>
          <w:rFonts w:cs="Arial"/>
          <w:color w:val="000000" w:themeColor="text1"/>
          <w:szCs w:val="24"/>
        </w:rPr>
        <w:t xml:space="preserve">work is </w:t>
      </w:r>
      <w:r w:rsidRPr="00B46382">
        <w:rPr>
          <w:rStyle w:val="normaltextrun"/>
          <w:rFonts w:eastAsiaTheme="minorEastAsia" w:cs="Arial"/>
          <w:color w:val="000000" w:themeColor="text1"/>
          <w:szCs w:val="24"/>
        </w:rPr>
        <w:t>funded until Sept 25 (GHWY collaboration). Should funding cease, an outreach officer post to succeed similar activity will be considered to engage both secondary and primary age children.</w:t>
      </w:r>
      <w:r w:rsidRPr="00B46382">
        <w:rPr>
          <w:rStyle w:val="eop"/>
          <w:rFonts w:cs="Arial"/>
          <w:color w:val="000000" w:themeColor="text1"/>
          <w:szCs w:val="24"/>
        </w:rPr>
        <w:t> </w:t>
      </w:r>
    </w:p>
    <w:p w14:paraId="690E64C9" w14:textId="1EEDB5B3" w:rsidR="005475A6" w:rsidRPr="005475A6" w:rsidRDefault="005475A6" w:rsidP="005475A6">
      <w:pPr>
        <w:rPr>
          <w:color w:val="000000" w:themeColor="text1"/>
        </w:rPr>
      </w:pPr>
      <w:r>
        <w:rPr>
          <w:color w:val="000000" w:themeColor="text1"/>
        </w:rPr>
        <w:t xml:space="preserve">Inputs: </w:t>
      </w:r>
      <w:r w:rsidRPr="00B46382">
        <w:rPr>
          <w:rStyle w:val="normaltextrun"/>
          <w:rFonts w:eastAsiaTheme="minorEastAsia" w:cs="Arial"/>
          <w:szCs w:val="24"/>
        </w:rPr>
        <w:t>Cost: staff time (academic staff, outreach officer, student ambassadors)</w:t>
      </w:r>
      <w:r>
        <w:rPr>
          <w:rStyle w:val="normaltextrun"/>
          <w:rFonts w:cs="Arial"/>
          <w:color w:val="000000" w:themeColor="text1"/>
        </w:rPr>
        <w:t xml:space="preserve">. </w:t>
      </w:r>
      <w:r w:rsidRPr="00B46382">
        <w:rPr>
          <w:rStyle w:val="normaltextrun"/>
          <w:rFonts w:eastAsiaTheme="minorEastAsia" w:cs="Arial"/>
          <w:szCs w:val="24"/>
        </w:rPr>
        <w:t>Planning time</w:t>
      </w:r>
      <w:r>
        <w:rPr>
          <w:rStyle w:val="normaltextrun"/>
          <w:rFonts w:eastAsiaTheme="minorEastAsia" w:cs="Arial"/>
        </w:rPr>
        <w:t xml:space="preserve">. </w:t>
      </w:r>
      <w:r w:rsidRPr="00B46382">
        <w:rPr>
          <w:rStyle w:val="normaltextrun"/>
          <w:rFonts w:eastAsiaTheme="minorEastAsia" w:cs="Arial"/>
          <w:szCs w:val="24"/>
        </w:rPr>
        <w:t>Cost of materials/prizes, catering</w:t>
      </w:r>
      <w:r>
        <w:rPr>
          <w:rStyle w:val="normaltextrun"/>
          <w:rFonts w:eastAsiaTheme="minorEastAsia" w:cs="Arial"/>
        </w:rPr>
        <w:t xml:space="preserve">. </w:t>
      </w:r>
      <w:r w:rsidRPr="00B46382">
        <w:rPr>
          <w:rStyle w:val="eop"/>
          <w:rFonts w:cs="Arial"/>
          <w:szCs w:val="24"/>
        </w:rPr>
        <w:t>3 events planned per year </w:t>
      </w:r>
    </w:p>
    <w:p w14:paraId="157AA5E9" w14:textId="7CE5D356" w:rsidR="005475A6" w:rsidRPr="005475A6" w:rsidRDefault="005475A6" w:rsidP="005475A6">
      <w:pPr>
        <w:rPr>
          <w:rStyle w:val="normaltextrun"/>
          <w:rFonts w:cs="Arial"/>
          <w:szCs w:val="24"/>
          <w:shd w:val="clear" w:color="auto" w:fill="FFFFFF"/>
        </w:rPr>
      </w:pPr>
      <w:r w:rsidRPr="005475A6">
        <w:t xml:space="preserve">Outcomes: </w:t>
      </w:r>
      <w:r w:rsidRPr="00B46382">
        <w:rPr>
          <w:rStyle w:val="normaltextrun"/>
          <w:rFonts w:cs="Arial"/>
          <w:color w:val="000000"/>
          <w:szCs w:val="24"/>
          <w:shd w:val="clear" w:color="auto" w:fill="FFFFFF"/>
        </w:rPr>
        <w:t xml:space="preserve">Increase </w:t>
      </w:r>
      <w:proofErr w:type="gramStart"/>
      <w:r w:rsidRPr="00B46382">
        <w:rPr>
          <w:rStyle w:val="normaltextrun"/>
          <w:rFonts w:cs="Arial"/>
          <w:color w:val="000000"/>
          <w:szCs w:val="24"/>
          <w:shd w:val="clear" w:color="auto" w:fill="FFFFFF"/>
        </w:rPr>
        <w:t>learners</w:t>
      </w:r>
      <w:proofErr w:type="gramEnd"/>
      <w:r w:rsidRPr="00B46382">
        <w:rPr>
          <w:rStyle w:val="normaltextrun"/>
          <w:rFonts w:cs="Arial"/>
          <w:color w:val="000000"/>
          <w:szCs w:val="24"/>
          <w:shd w:val="clear" w:color="auto" w:fill="FFFFFF"/>
        </w:rPr>
        <w:t xml:space="preserve"> knowledge and aspirations and interactions with HE and related career opportunities whilst building confidence and communication skills. </w:t>
      </w:r>
      <w:r w:rsidRPr="00B46382">
        <w:rPr>
          <w:rStyle w:val="normaltextrun"/>
          <w:rFonts w:cs="Arial"/>
          <w:b/>
          <w:bCs/>
          <w:color w:val="000000"/>
          <w:szCs w:val="24"/>
          <w:shd w:val="clear" w:color="auto" w:fill="FFFFFF"/>
        </w:rPr>
        <w:t> </w:t>
      </w:r>
    </w:p>
    <w:p w14:paraId="15DD55B2" w14:textId="6F1DF2A3" w:rsidR="005475A6" w:rsidRDefault="005475A6" w:rsidP="005475A6">
      <w:pPr>
        <w:rPr>
          <w:rStyle w:val="eop"/>
          <w:rFonts w:cs="Arial"/>
          <w:color w:val="000000"/>
          <w:szCs w:val="24"/>
          <w:shd w:val="clear" w:color="auto" w:fill="FFFFFF"/>
        </w:rPr>
      </w:pPr>
      <w:r w:rsidRPr="005475A6">
        <w:t xml:space="preserve">Cross Intervention: </w:t>
      </w:r>
      <w:r w:rsidRPr="005475A6">
        <w:rPr>
          <w:rStyle w:val="normaltextrun"/>
          <w:rFonts w:cs="Arial"/>
          <w:szCs w:val="24"/>
          <w:shd w:val="clear" w:color="auto" w:fill="FFFFFF"/>
        </w:rPr>
        <w:t>IS</w:t>
      </w:r>
      <w:r w:rsidRPr="005475A6">
        <w:rPr>
          <w:rStyle w:val="normaltextrun"/>
          <w:rFonts w:cs="Arial"/>
          <w:szCs w:val="24"/>
          <w:shd w:val="clear" w:color="auto" w:fill="FFFFFF"/>
        </w:rPr>
        <w:t xml:space="preserve">1 </w:t>
      </w:r>
      <w:r w:rsidRPr="005475A6">
        <w:rPr>
          <w:rStyle w:val="normaltextrun"/>
          <w:rFonts w:cs="Arial"/>
          <w:szCs w:val="24"/>
          <w:shd w:val="clear" w:color="auto" w:fill="FFFFFF"/>
        </w:rPr>
        <w:t xml:space="preserve">(This activity links </w:t>
      </w:r>
      <w:r w:rsidRPr="00B46382">
        <w:rPr>
          <w:rStyle w:val="normaltextrun"/>
          <w:rFonts w:cs="Arial"/>
          <w:color w:val="000000"/>
          <w:szCs w:val="24"/>
          <w:shd w:val="clear" w:color="auto" w:fill="FFFFFF"/>
        </w:rPr>
        <w:t>directly to EORR Risks: 1, 2, 3, 5)</w:t>
      </w:r>
      <w:r w:rsidRPr="00B46382">
        <w:rPr>
          <w:rStyle w:val="eop"/>
          <w:rFonts w:cs="Arial"/>
          <w:color w:val="000000"/>
          <w:szCs w:val="24"/>
          <w:shd w:val="clear" w:color="auto" w:fill="FFFFFF"/>
        </w:rPr>
        <w:t> </w:t>
      </w:r>
    </w:p>
    <w:p w14:paraId="6AF24582" w14:textId="54B842AB" w:rsidR="005475A6" w:rsidRPr="005475A6" w:rsidRDefault="005475A6" w:rsidP="005475A6">
      <w:pPr>
        <w:pStyle w:val="Heading4"/>
        <w:rPr>
          <w:rFonts w:eastAsia="Times New Roman"/>
          <w:color w:val="FF0000"/>
          <w:lang w:eastAsia="en-GB"/>
        </w:rPr>
      </w:pPr>
      <w:r>
        <w:rPr>
          <w:color w:val="000000"/>
          <w:shd w:val="clear" w:color="auto" w:fill="FFFFFF"/>
        </w:rPr>
        <w:t xml:space="preserve">4.4.3 </w:t>
      </w:r>
      <w:r w:rsidRPr="00B46382">
        <w:rPr>
          <w:rFonts w:eastAsia="Times New Roman"/>
          <w:bCs/>
          <w:lang w:eastAsia="en-GB"/>
        </w:rPr>
        <w:t xml:space="preserve">IS2.3 Partnerships to support pre-16 attainment raising: </w:t>
      </w:r>
      <w:r w:rsidRPr="00B46382">
        <w:rPr>
          <w:rFonts w:eastAsia="Times New Roman"/>
          <w:lang w:eastAsia="en-GB"/>
        </w:rPr>
        <w:t>GHWY Uni Connect Attainment Raising Programme for y8-10 life cycle: raising attainment</w:t>
      </w:r>
    </w:p>
    <w:p w14:paraId="492FD33C" w14:textId="4264C3FC" w:rsidR="005475A6" w:rsidRDefault="005475A6" w:rsidP="005475A6">
      <w:r>
        <w:t xml:space="preserve">Activity: </w:t>
      </w:r>
      <w:r w:rsidRPr="00B46382">
        <w:t xml:space="preserve">The programme works with students from low-participation neighbourhoods who are predicted 4/5 across the majority of GCSE subjects and not taking part in </w:t>
      </w:r>
      <w:r w:rsidRPr="00B46382">
        <w:lastRenderedPageBreak/>
        <w:t xml:space="preserve">any other attainment-raising programme, with a focus on those eligible for Free School Meals or from one of GHWY’s key under-represented groups (Males on free school meals, care-experienced, Black, Asian and </w:t>
      </w:r>
      <w:proofErr w:type="spellStart"/>
      <w:r w:rsidRPr="00B46382">
        <w:t>minoritised</w:t>
      </w:r>
      <w:proofErr w:type="spellEnd"/>
      <w:r w:rsidRPr="00B46382">
        <w:t xml:space="preserve"> ethnicities, SEND learners capable of academically achieving). Pupils are taught and practice key metacognitive and </w:t>
      </w:r>
      <w:proofErr w:type="spellStart"/>
      <w:r w:rsidRPr="00B46382">
        <w:t>oracy</w:t>
      </w:r>
      <w:proofErr w:type="spellEnd"/>
      <w:r w:rsidRPr="00B46382">
        <w:t xml:space="preserve"> skills to support their academic attainment.</w:t>
      </w:r>
    </w:p>
    <w:p w14:paraId="58F2A87C" w14:textId="564F8B75" w:rsidR="005475A6" w:rsidRPr="00B46382" w:rsidRDefault="005475A6" w:rsidP="005475A6">
      <w:r>
        <w:t>Inputs:</w:t>
      </w:r>
      <w:r w:rsidRPr="005475A6">
        <w:rPr>
          <w:rFonts w:eastAsia="Times New Roman"/>
          <w:lang w:eastAsia="en-GB"/>
        </w:rPr>
        <w:t xml:space="preserve"> </w:t>
      </w:r>
      <w:r w:rsidRPr="00B46382">
        <w:rPr>
          <w:rFonts w:eastAsia="Times New Roman"/>
          <w:lang w:eastAsia="en-GB"/>
        </w:rPr>
        <w:t>GHWY subscription fee and salary of Outreach Officer/GHWY KC Budget</w:t>
      </w:r>
    </w:p>
    <w:p w14:paraId="1A7E2DC6" w14:textId="77777777" w:rsidR="005475A6" w:rsidRPr="00B46382" w:rsidRDefault="005475A6" w:rsidP="005475A6">
      <w:r>
        <w:rPr>
          <w:color w:val="000000"/>
          <w:shd w:val="clear" w:color="auto" w:fill="FFFFFF"/>
        </w:rPr>
        <w:t xml:space="preserve">Outcomes: </w:t>
      </w:r>
      <w:r w:rsidRPr="00B46382">
        <w:t>Improved metacognition and attainment at GCSE</w:t>
      </w:r>
    </w:p>
    <w:p w14:paraId="5A59F2A0" w14:textId="0327B977" w:rsidR="005475A6" w:rsidRDefault="005475A6" w:rsidP="005475A6">
      <w:pPr>
        <w:rPr>
          <w:color w:val="000000" w:themeColor="text1"/>
        </w:rPr>
      </w:pPr>
      <w:r>
        <w:rPr>
          <w:color w:val="000000"/>
          <w:shd w:val="clear" w:color="auto" w:fill="FFFFFF"/>
        </w:rPr>
        <w:t xml:space="preserve">Cross intervention: </w:t>
      </w:r>
      <w:r w:rsidRPr="00B46382">
        <w:rPr>
          <w:color w:val="000000" w:themeColor="text1"/>
        </w:rPr>
        <w:t>IS1(This activity links directly to EORR Risks:1,2,3,5,7,8,10</w:t>
      </w:r>
      <w:r>
        <w:rPr>
          <w:color w:val="000000" w:themeColor="text1"/>
        </w:rPr>
        <w:t>)</w:t>
      </w:r>
    </w:p>
    <w:p w14:paraId="2602C1AE" w14:textId="77777777" w:rsidR="005475A6" w:rsidRPr="005475A6" w:rsidRDefault="005475A6" w:rsidP="005475A6">
      <w:pPr>
        <w:rPr>
          <w:color w:val="000000" w:themeColor="text1"/>
        </w:rPr>
      </w:pPr>
    </w:p>
    <w:p w14:paraId="54A9445A" w14:textId="0829801A" w:rsidR="005475A6" w:rsidRPr="005475A6" w:rsidRDefault="005475A6" w:rsidP="005475A6">
      <w:pPr>
        <w:rPr>
          <w:color w:val="000000"/>
          <w:shd w:val="clear" w:color="auto" w:fill="FFFFFF"/>
        </w:rPr>
      </w:pPr>
      <w:r w:rsidRPr="005475A6">
        <w:rPr>
          <w:bCs/>
        </w:rPr>
        <w:t>Total cost of IS2 over 4-year cycle: £85,682</w:t>
      </w:r>
      <w:r w:rsidRPr="005475A6">
        <w:rPr>
          <w:bCs/>
        </w:rPr>
        <w:t>.</w:t>
      </w:r>
    </w:p>
    <w:p w14:paraId="733F73DE" w14:textId="77777777" w:rsidR="004D362C" w:rsidRPr="00B46382" w:rsidRDefault="004D362C" w:rsidP="004D362C">
      <w:pPr>
        <w:rPr>
          <w:rFonts w:cs="Arial"/>
          <w:b/>
          <w:bCs/>
          <w:szCs w:val="24"/>
        </w:rPr>
      </w:pPr>
    </w:p>
    <w:p w14:paraId="6AB9DCE6" w14:textId="3AA7A09A" w:rsidR="005475A6" w:rsidRDefault="005475A6" w:rsidP="005475A6">
      <w:pPr>
        <w:pStyle w:val="Heading3"/>
      </w:pPr>
      <w:r>
        <w:t xml:space="preserve">4.5 </w:t>
      </w:r>
      <w:r w:rsidR="004D362C" w:rsidRPr="00B46382">
        <w:t>Summary of evidence base and rationale</w:t>
      </w:r>
    </w:p>
    <w:p w14:paraId="644D13DE" w14:textId="5A64DE88" w:rsidR="004D362C" w:rsidRPr="00B46382" w:rsidRDefault="004D362C" w:rsidP="004D362C">
      <w:pPr>
        <w:rPr>
          <w:rFonts w:cs="Arial"/>
          <w:color w:val="000000" w:themeColor="text1"/>
          <w:szCs w:val="24"/>
        </w:rPr>
      </w:pPr>
      <w:r w:rsidRPr="00B46382">
        <w:rPr>
          <w:rFonts w:cs="Arial"/>
          <w:szCs w:val="24"/>
        </w:rPr>
        <w:t>We have conducted a literature review, consulted our own internal data, student body and narrative to provide our evidence base and rationale to support the planned intervention strategy activities detailed above (</w:t>
      </w:r>
      <w:r w:rsidRPr="00B46382">
        <w:rPr>
          <w:rFonts w:cs="Arial"/>
          <w:color w:val="000000" w:themeColor="text1"/>
          <w:szCs w:val="24"/>
        </w:rPr>
        <w:t>see Annex B).</w:t>
      </w:r>
    </w:p>
    <w:p w14:paraId="4297ECF2" w14:textId="085A1F50" w:rsidR="005475A6" w:rsidRDefault="005475A6" w:rsidP="005475A6">
      <w:pPr>
        <w:pStyle w:val="Heading3"/>
      </w:pPr>
      <w:r>
        <w:t xml:space="preserve">4.6 </w:t>
      </w:r>
      <w:r w:rsidR="004D362C" w:rsidRPr="00B46382">
        <w:t>Evaluation</w:t>
      </w:r>
    </w:p>
    <w:p w14:paraId="56AF19F3" w14:textId="3520B3A1" w:rsidR="00207AC3" w:rsidRPr="00B46382" w:rsidRDefault="00CA63A7" w:rsidP="000D238E">
      <w:pPr>
        <w:pStyle w:val="NormalWeb"/>
        <w:spacing w:before="0" w:beforeAutospacing="0" w:after="300" w:afterAutospacing="0"/>
        <w:rPr>
          <w:rFonts w:ascii="Arial" w:hAnsi="Arial" w:cs="Arial"/>
        </w:rPr>
      </w:pPr>
      <w:r w:rsidRPr="00B46382">
        <w:rPr>
          <w:rFonts w:ascii="Arial" w:hAnsi="Arial" w:cs="Arial"/>
          <w:color w:val="333333"/>
        </w:rPr>
        <w:t xml:space="preserve">For IS 2.1 and 2.2 </w:t>
      </w:r>
      <w:r w:rsidR="004D362C" w:rsidRPr="00B46382">
        <w:rPr>
          <w:rFonts w:ascii="Arial" w:hAnsi="Arial" w:cs="Arial"/>
          <w:color w:val="333333"/>
        </w:rPr>
        <w:t>see</w:t>
      </w:r>
      <w:r w:rsidR="00A64B30" w:rsidRPr="00B46382">
        <w:rPr>
          <w:rFonts w:ascii="Arial" w:hAnsi="Arial" w:cs="Arial"/>
          <w:color w:val="333333"/>
        </w:rPr>
        <w:t xml:space="preserve"> Evaluation for Intervention Strategy 1 above</w:t>
      </w:r>
      <w:r w:rsidR="0009342E" w:rsidRPr="00B46382">
        <w:rPr>
          <w:rFonts w:ascii="Arial" w:hAnsi="Arial" w:cs="Arial"/>
          <w:color w:val="333333"/>
        </w:rPr>
        <w:t>.</w:t>
      </w:r>
      <w:r w:rsidR="00842737" w:rsidRPr="00B46382">
        <w:rPr>
          <w:rFonts w:ascii="Arial" w:hAnsi="Arial" w:cs="Arial"/>
          <w:color w:val="333333"/>
        </w:rPr>
        <w:t xml:space="preserve"> A similar </w:t>
      </w:r>
      <w:r w:rsidR="00CA05CE" w:rsidRPr="00B46382">
        <w:rPr>
          <w:rFonts w:ascii="Arial" w:hAnsi="Arial" w:cs="Arial"/>
          <w:color w:val="333333"/>
        </w:rPr>
        <w:t xml:space="preserve">Type 2, </w:t>
      </w:r>
      <w:r w:rsidR="00842737" w:rsidRPr="00B46382">
        <w:rPr>
          <w:rFonts w:ascii="Arial" w:hAnsi="Arial" w:cs="Arial"/>
          <w:color w:val="333333"/>
        </w:rPr>
        <w:t xml:space="preserve">mixed method approach will be </w:t>
      </w:r>
      <w:r w:rsidR="00CA05CE" w:rsidRPr="00B46382">
        <w:rPr>
          <w:rFonts w:ascii="Arial" w:hAnsi="Arial" w:cs="Arial"/>
          <w:color w:val="333333"/>
        </w:rPr>
        <w:t>implemented</w:t>
      </w:r>
      <w:r w:rsidR="00842737" w:rsidRPr="00B46382">
        <w:rPr>
          <w:rFonts w:ascii="Arial" w:hAnsi="Arial" w:cs="Arial"/>
          <w:color w:val="333333"/>
        </w:rPr>
        <w:t>.</w:t>
      </w:r>
      <w:r w:rsidR="0074299D" w:rsidRPr="00B46382">
        <w:rPr>
          <w:rFonts w:ascii="Arial" w:hAnsi="Arial" w:cs="Arial"/>
          <w:color w:val="333333"/>
        </w:rPr>
        <w:t xml:space="preserve"> </w:t>
      </w:r>
      <w:r w:rsidR="006959B3" w:rsidRPr="00B46382">
        <w:rPr>
          <w:rFonts w:ascii="Arial" w:hAnsi="Arial" w:cs="Arial"/>
          <w:color w:val="333333"/>
        </w:rPr>
        <w:t>With respect to IS</w:t>
      </w:r>
      <w:r w:rsidR="00842737" w:rsidRPr="00B46382">
        <w:rPr>
          <w:rFonts w:ascii="Arial" w:hAnsi="Arial" w:cs="Arial"/>
          <w:color w:val="333333"/>
        </w:rPr>
        <w:t>2.</w:t>
      </w:r>
      <w:r w:rsidR="006959B3" w:rsidRPr="00B46382">
        <w:rPr>
          <w:rFonts w:ascii="Arial" w:hAnsi="Arial" w:cs="Arial"/>
          <w:color w:val="333333"/>
        </w:rPr>
        <w:t xml:space="preserve">3, </w:t>
      </w:r>
      <w:r w:rsidR="0009342E" w:rsidRPr="00B46382">
        <w:rPr>
          <w:rFonts w:ascii="Arial" w:hAnsi="Arial" w:cs="Arial"/>
        </w:rPr>
        <w:t xml:space="preserve">GHWY’s Uni Connect funded Attainment-Raising programme is delivered by our Uni Connect-funded Outreach Officer. The programme works in target schools with individuals in receipt of Free School Meals (FSMs) and seeks to develop metacognitive skills to support attainment across a range of subjects. Our Uni </w:t>
      </w:r>
      <w:proofErr w:type="spellStart"/>
      <w:r w:rsidR="0009342E" w:rsidRPr="00B46382">
        <w:rPr>
          <w:rFonts w:ascii="Arial" w:hAnsi="Arial" w:cs="Arial"/>
        </w:rPr>
        <w:t>Connect’s</w:t>
      </w:r>
      <w:proofErr w:type="spellEnd"/>
      <w:r w:rsidR="0009342E" w:rsidRPr="00B46382">
        <w:rPr>
          <w:rFonts w:ascii="Arial" w:hAnsi="Arial" w:cs="Arial"/>
        </w:rPr>
        <w:t xml:space="preserve"> evaluation of this programme has two key strands: measuring improvements to learners’ metacognitive skills as a proxy for impact on attainment (pre and post surveys alongside qualitative data), and measuring long-term impact on learner attainment (baselining GCSE results against KS2 exam results using a matched cohort as a comparator group)</w:t>
      </w:r>
      <w:r w:rsidR="0055724C">
        <w:rPr>
          <w:rFonts w:ascii="Arial" w:hAnsi="Arial" w:cs="Arial"/>
        </w:rPr>
        <w:t>.</w:t>
      </w:r>
    </w:p>
    <w:p w14:paraId="3D877E45" w14:textId="4EB97210" w:rsidR="001061AB" w:rsidRPr="00B46382" w:rsidRDefault="0055724C" w:rsidP="0055724C">
      <w:pPr>
        <w:pStyle w:val="Heading2"/>
      </w:pPr>
      <w:r>
        <w:t xml:space="preserve">5. </w:t>
      </w:r>
      <w:r w:rsidR="008D7CE3" w:rsidRPr="00B46382">
        <w:t xml:space="preserve">Whole Provider Approach </w:t>
      </w:r>
    </w:p>
    <w:p w14:paraId="211BADB2" w14:textId="5D182823" w:rsidR="00D9023B" w:rsidRPr="00B46382" w:rsidRDefault="001061AB" w:rsidP="00723020">
      <w:pPr>
        <w:pStyle w:val="NormalWeb"/>
        <w:spacing w:before="0" w:beforeAutospacing="0" w:after="300" w:afterAutospacing="0"/>
        <w:rPr>
          <w:rFonts w:ascii="Arial" w:hAnsi="Arial" w:cs="Arial"/>
          <w:color w:val="000000" w:themeColor="text1"/>
        </w:rPr>
      </w:pPr>
      <w:r w:rsidRPr="00B46382">
        <w:rPr>
          <w:rFonts w:ascii="Arial" w:hAnsi="Arial" w:cs="Arial"/>
        </w:rPr>
        <w:t xml:space="preserve">We understand the criticality in ensuring that </w:t>
      </w:r>
      <w:r w:rsidR="00CD46B2" w:rsidRPr="00B46382">
        <w:rPr>
          <w:rFonts w:ascii="Arial" w:hAnsi="Arial" w:cs="Arial"/>
        </w:rPr>
        <w:t>our APP adopts a</w:t>
      </w:r>
      <w:r w:rsidRPr="00B46382">
        <w:rPr>
          <w:rFonts w:ascii="Arial" w:hAnsi="Arial" w:cs="Arial"/>
        </w:rPr>
        <w:t xml:space="preserve"> holistic approach to address the risks to equality of opportunity, and that the success of our APP and the a</w:t>
      </w:r>
      <w:r w:rsidR="00D77064" w:rsidRPr="00B46382">
        <w:rPr>
          <w:rFonts w:ascii="Arial" w:hAnsi="Arial" w:cs="Arial"/>
        </w:rPr>
        <w:t>chievement</w:t>
      </w:r>
      <w:r w:rsidRPr="00B46382">
        <w:rPr>
          <w:rFonts w:ascii="Arial" w:hAnsi="Arial" w:cs="Arial"/>
        </w:rPr>
        <w:t xml:space="preserve"> of our set targets is crucial to this.</w:t>
      </w:r>
      <w:r w:rsidR="00CD46B2" w:rsidRPr="00B46382">
        <w:rPr>
          <w:rFonts w:ascii="Arial" w:hAnsi="Arial" w:cs="Arial"/>
        </w:rPr>
        <w:t xml:space="preserve"> </w:t>
      </w:r>
      <w:r w:rsidR="00CE172C" w:rsidRPr="00B46382">
        <w:rPr>
          <w:rFonts w:ascii="Arial" w:hAnsi="Arial" w:cs="Arial"/>
        </w:rPr>
        <w:t xml:space="preserve">The engagement and involvement of </w:t>
      </w:r>
      <w:r w:rsidR="00D77064" w:rsidRPr="00B46382">
        <w:rPr>
          <w:rFonts w:ascii="Arial" w:hAnsi="Arial" w:cs="Arial"/>
        </w:rPr>
        <w:t xml:space="preserve">a wide variety of </w:t>
      </w:r>
      <w:r w:rsidR="00CE172C" w:rsidRPr="00B46382">
        <w:rPr>
          <w:rFonts w:ascii="Arial" w:hAnsi="Arial" w:cs="Arial"/>
        </w:rPr>
        <w:t xml:space="preserve">staff across </w:t>
      </w:r>
      <w:r w:rsidR="00D77064" w:rsidRPr="00B46382">
        <w:rPr>
          <w:rFonts w:ascii="Arial" w:hAnsi="Arial" w:cs="Arial"/>
        </w:rPr>
        <w:t xml:space="preserve">the </w:t>
      </w:r>
      <w:r w:rsidR="00723020" w:rsidRPr="00B46382">
        <w:rPr>
          <w:rFonts w:ascii="Arial" w:hAnsi="Arial" w:cs="Arial"/>
        </w:rPr>
        <w:t>KC</w:t>
      </w:r>
      <w:r w:rsidR="00CE172C" w:rsidRPr="00B46382">
        <w:rPr>
          <w:rFonts w:ascii="Arial" w:hAnsi="Arial" w:cs="Arial"/>
        </w:rPr>
        <w:t xml:space="preserve"> </w:t>
      </w:r>
      <w:r w:rsidR="00D77064" w:rsidRPr="00B46382">
        <w:rPr>
          <w:rFonts w:ascii="Arial" w:hAnsi="Arial" w:cs="Arial"/>
        </w:rPr>
        <w:t xml:space="preserve">community </w:t>
      </w:r>
      <w:r w:rsidR="00CD46B2" w:rsidRPr="00B46382">
        <w:rPr>
          <w:rFonts w:ascii="Arial" w:hAnsi="Arial" w:cs="Arial"/>
        </w:rPr>
        <w:t>is clear through documentation of our Intervention Strategy activities</w:t>
      </w:r>
      <w:r w:rsidR="00CA1746" w:rsidRPr="00B46382">
        <w:rPr>
          <w:rFonts w:ascii="Arial" w:hAnsi="Arial" w:cs="Arial"/>
        </w:rPr>
        <w:t xml:space="preserve"> (section 4)</w:t>
      </w:r>
      <w:r w:rsidR="00CE172C" w:rsidRPr="00B46382">
        <w:rPr>
          <w:rFonts w:ascii="Arial" w:hAnsi="Arial" w:cs="Arial"/>
          <w:color w:val="000000" w:themeColor="text1"/>
        </w:rPr>
        <w:t xml:space="preserve">. </w:t>
      </w:r>
      <w:r w:rsidR="00BD2BC5" w:rsidRPr="00B46382">
        <w:rPr>
          <w:rFonts w:ascii="Arial" w:hAnsi="Arial" w:cs="Arial"/>
          <w:color w:val="000000" w:themeColor="text1"/>
        </w:rPr>
        <w:t>A</w:t>
      </w:r>
      <w:r w:rsidR="00CE172C" w:rsidRPr="00B46382">
        <w:rPr>
          <w:rFonts w:ascii="Arial" w:hAnsi="Arial" w:cs="Arial"/>
          <w:color w:val="000000" w:themeColor="text1"/>
        </w:rPr>
        <w:t>cademic</w:t>
      </w:r>
      <w:r w:rsidR="00723020" w:rsidRPr="00B46382">
        <w:rPr>
          <w:rFonts w:ascii="Arial" w:hAnsi="Arial" w:cs="Arial"/>
          <w:color w:val="000000" w:themeColor="text1"/>
        </w:rPr>
        <w:t xml:space="preserve"> curriculum</w:t>
      </w:r>
      <w:r w:rsidR="00CE172C" w:rsidRPr="00B46382">
        <w:rPr>
          <w:rFonts w:ascii="Arial" w:hAnsi="Arial" w:cs="Arial"/>
          <w:color w:val="000000" w:themeColor="text1"/>
        </w:rPr>
        <w:t>, student support, learning resource (study skills)</w:t>
      </w:r>
      <w:r w:rsidR="001C4AE0" w:rsidRPr="00B46382">
        <w:rPr>
          <w:rFonts w:ascii="Arial" w:hAnsi="Arial" w:cs="Arial"/>
          <w:color w:val="000000" w:themeColor="text1"/>
        </w:rPr>
        <w:t>, SEND</w:t>
      </w:r>
      <w:r w:rsidR="00E100D2" w:rsidRPr="00B46382">
        <w:rPr>
          <w:rFonts w:ascii="Arial" w:hAnsi="Arial" w:cs="Arial"/>
          <w:color w:val="000000" w:themeColor="text1"/>
        </w:rPr>
        <w:t>, student experience</w:t>
      </w:r>
      <w:r w:rsidR="00723020" w:rsidRPr="00B46382">
        <w:rPr>
          <w:rFonts w:ascii="Arial" w:hAnsi="Arial" w:cs="Arial"/>
          <w:color w:val="000000" w:themeColor="text1"/>
        </w:rPr>
        <w:t xml:space="preserve"> and MIS staff</w:t>
      </w:r>
      <w:r w:rsidR="000F78CA" w:rsidRPr="00B46382">
        <w:rPr>
          <w:rFonts w:ascii="Arial" w:hAnsi="Arial" w:cs="Arial"/>
          <w:color w:val="000000" w:themeColor="text1"/>
        </w:rPr>
        <w:t>, S</w:t>
      </w:r>
      <w:r w:rsidR="00E97B4C" w:rsidRPr="00B46382">
        <w:rPr>
          <w:rFonts w:ascii="Arial" w:hAnsi="Arial" w:cs="Arial"/>
          <w:color w:val="000000" w:themeColor="text1"/>
        </w:rPr>
        <w:t xml:space="preserve">enior </w:t>
      </w:r>
      <w:r w:rsidR="000F78CA" w:rsidRPr="00B46382">
        <w:rPr>
          <w:rFonts w:ascii="Arial" w:hAnsi="Arial" w:cs="Arial"/>
          <w:color w:val="000000" w:themeColor="text1"/>
        </w:rPr>
        <w:t>E</w:t>
      </w:r>
      <w:r w:rsidR="00E97B4C" w:rsidRPr="00B46382">
        <w:rPr>
          <w:rFonts w:ascii="Arial" w:hAnsi="Arial" w:cs="Arial"/>
          <w:color w:val="000000" w:themeColor="text1"/>
        </w:rPr>
        <w:t xml:space="preserve">xecutive </w:t>
      </w:r>
      <w:r w:rsidR="000F78CA" w:rsidRPr="00B46382">
        <w:rPr>
          <w:rFonts w:ascii="Arial" w:hAnsi="Arial" w:cs="Arial"/>
          <w:color w:val="000000" w:themeColor="text1"/>
        </w:rPr>
        <w:t>L</w:t>
      </w:r>
      <w:r w:rsidR="00E97B4C" w:rsidRPr="00B46382">
        <w:rPr>
          <w:rFonts w:ascii="Arial" w:hAnsi="Arial" w:cs="Arial"/>
          <w:color w:val="000000" w:themeColor="text1"/>
        </w:rPr>
        <w:t xml:space="preserve">eadership </w:t>
      </w:r>
      <w:r w:rsidR="000F78CA" w:rsidRPr="00B46382">
        <w:rPr>
          <w:rFonts w:ascii="Arial" w:hAnsi="Arial" w:cs="Arial"/>
          <w:color w:val="000000" w:themeColor="text1"/>
        </w:rPr>
        <w:t>T</w:t>
      </w:r>
      <w:r w:rsidR="00E97B4C" w:rsidRPr="00B46382">
        <w:rPr>
          <w:rFonts w:ascii="Arial" w:hAnsi="Arial" w:cs="Arial"/>
          <w:color w:val="000000" w:themeColor="text1"/>
        </w:rPr>
        <w:t>eams</w:t>
      </w:r>
      <w:r w:rsidR="001E1184" w:rsidRPr="00B46382">
        <w:rPr>
          <w:rFonts w:ascii="Arial" w:hAnsi="Arial" w:cs="Arial"/>
          <w:color w:val="000000" w:themeColor="text1"/>
        </w:rPr>
        <w:t xml:space="preserve"> (SELT)</w:t>
      </w:r>
      <w:r w:rsidR="000F78CA" w:rsidRPr="00B46382">
        <w:rPr>
          <w:rFonts w:ascii="Arial" w:hAnsi="Arial" w:cs="Arial"/>
          <w:color w:val="000000" w:themeColor="text1"/>
        </w:rPr>
        <w:t>, W</w:t>
      </w:r>
      <w:r w:rsidR="001E1184" w:rsidRPr="00B46382">
        <w:rPr>
          <w:rFonts w:ascii="Arial" w:hAnsi="Arial" w:cs="Arial"/>
          <w:color w:val="000000" w:themeColor="text1"/>
        </w:rPr>
        <w:t xml:space="preserve">ider </w:t>
      </w:r>
      <w:r w:rsidR="000F78CA" w:rsidRPr="00B46382">
        <w:rPr>
          <w:rFonts w:ascii="Arial" w:hAnsi="Arial" w:cs="Arial"/>
          <w:color w:val="000000" w:themeColor="text1"/>
        </w:rPr>
        <w:t>L</w:t>
      </w:r>
      <w:r w:rsidR="001E1184" w:rsidRPr="00B46382">
        <w:rPr>
          <w:rFonts w:ascii="Arial" w:hAnsi="Arial" w:cs="Arial"/>
          <w:color w:val="000000" w:themeColor="text1"/>
        </w:rPr>
        <w:t xml:space="preserve">eadership </w:t>
      </w:r>
      <w:r w:rsidR="000F78CA" w:rsidRPr="00B46382">
        <w:rPr>
          <w:rFonts w:ascii="Arial" w:hAnsi="Arial" w:cs="Arial"/>
          <w:color w:val="000000" w:themeColor="text1"/>
        </w:rPr>
        <w:t>T</w:t>
      </w:r>
      <w:r w:rsidR="001E1184" w:rsidRPr="00B46382">
        <w:rPr>
          <w:rFonts w:ascii="Arial" w:hAnsi="Arial" w:cs="Arial"/>
          <w:color w:val="000000" w:themeColor="text1"/>
        </w:rPr>
        <w:t>eams (WLT)</w:t>
      </w:r>
      <w:r w:rsidR="00723020" w:rsidRPr="00B46382">
        <w:rPr>
          <w:rFonts w:ascii="Arial" w:hAnsi="Arial" w:cs="Arial"/>
          <w:color w:val="000000" w:themeColor="text1"/>
        </w:rPr>
        <w:t xml:space="preserve"> and</w:t>
      </w:r>
      <w:r w:rsidR="000F78CA" w:rsidRPr="00B46382">
        <w:rPr>
          <w:rFonts w:ascii="Arial" w:hAnsi="Arial" w:cs="Arial"/>
          <w:color w:val="000000" w:themeColor="text1"/>
        </w:rPr>
        <w:t xml:space="preserve"> the</w:t>
      </w:r>
      <w:r w:rsidR="00723020" w:rsidRPr="00B46382">
        <w:rPr>
          <w:rFonts w:ascii="Arial" w:hAnsi="Arial" w:cs="Arial"/>
          <w:color w:val="000000" w:themeColor="text1"/>
        </w:rPr>
        <w:t xml:space="preserve"> GHWY Outreach team</w:t>
      </w:r>
      <w:r w:rsidR="00CE172C" w:rsidRPr="00B46382">
        <w:rPr>
          <w:rFonts w:ascii="Arial" w:hAnsi="Arial" w:cs="Arial"/>
          <w:color w:val="000000" w:themeColor="text1"/>
        </w:rPr>
        <w:t xml:space="preserve"> </w:t>
      </w:r>
      <w:r w:rsidR="001C4AE0" w:rsidRPr="00B46382">
        <w:rPr>
          <w:rFonts w:ascii="Arial" w:hAnsi="Arial" w:cs="Arial"/>
          <w:color w:val="000000" w:themeColor="text1"/>
        </w:rPr>
        <w:t xml:space="preserve">are all </w:t>
      </w:r>
      <w:r w:rsidR="00723020" w:rsidRPr="00B46382">
        <w:rPr>
          <w:rFonts w:ascii="Arial" w:hAnsi="Arial" w:cs="Arial"/>
          <w:color w:val="000000" w:themeColor="text1"/>
        </w:rPr>
        <w:t>expected</w:t>
      </w:r>
      <w:r w:rsidR="001C4AE0" w:rsidRPr="00B46382">
        <w:rPr>
          <w:rFonts w:ascii="Arial" w:hAnsi="Arial" w:cs="Arial"/>
          <w:color w:val="000000" w:themeColor="text1"/>
        </w:rPr>
        <w:t xml:space="preserve"> to play </w:t>
      </w:r>
      <w:r w:rsidR="00211CE3" w:rsidRPr="00B46382">
        <w:rPr>
          <w:rFonts w:ascii="Arial" w:hAnsi="Arial" w:cs="Arial"/>
          <w:color w:val="000000" w:themeColor="text1"/>
        </w:rPr>
        <w:t>integral</w:t>
      </w:r>
      <w:r w:rsidR="001C4AE0" w:rsidRPr="00B46382">
        <w:rPr>
          <w:rFonts w:ascii="Arial" w:hAnsi="Arial" w:cs="Arial"/>
          <w:color w:val="000000" w:themeColor="text1"/>
        </w:rPr>
        <w:t xml:space="preserve"> roles</w:t>
      </w:r>
      <w:r w:rsidR="00CE172C" w:rsidRPr="00B46382">
        <w:rPr>
          <w:rFonts w:ascii="Arial" w:hAnsi="Arial" w:cs="Arial"/>
          <w:color w:val="000000" w:themeColor="text1"/>
        </w:rPr>
        <w:t>. Importantly the work of these teams is not mutually exclusive</w:t>
      </w:r>
      <w:r w:rsidR="001C4AE0" w:rsidRPr="00B46382">
        <w:rPr>
          <w:rFonts w:ascii="Arial" w:hAnsi="Arial" w:cs="Arial"/>
          <w:color w:val="000000" w:themeColor="text1"/>
        </w:rPr>
        <w:t xml:space="preserve"> and </w:t>
      </w:r>
      <w:r w:rsidR="00723020" w:rsidRPr="00B46382">
        <w:rPr>
          <w:rFonts w:ascii="Arial" w:hAnsi="Arial" w:cs="Arial"/>
          <w:color w:val="000000" w:themeColor="text1"/>
        </w:rPr>
        <w:t xml:space="preserve">there are occasions where some intervention strategies may require </w:t>
      </w:r>
      <w:r w:rsidR="001C4AE0" w:rsidRPr="00B46382">
        <w:rPr>
          <w:rFonts w:ascii="Arial" w:hAnsi="Arial" w:cs="Arial"/>
          <w:color w:val="000000" w:themeColor="text1"/>
        </w:rPr>
        <w:t>teams to work together for the common goal</w:t>
      </w:r>
      <w:r w:rsidR="00723020" w:rsidRPr="00B46382">
        <w:rPr>
          <w:rFonts w:ascii="Arial" w:hAnsi="Arial" w:cs="Arial"/>
          <w:color w:val="000000" w:themeColor="text1"/>
        </w:rPr>
        <w:t>.</w:t>
      </w:r>
    </w:p>
    <w:p w14:paraId="2824B219" w14:textId="49E75342" w:rsidR="00934409" w:rsidRPr="00B46382" w:rsidRDefault="00934409" w:rsidP="00723020">
      <w:pPr>
        <w:pStyle w:val="NormalWeb"/>
        <w:spacing w:before="0" w:beforeAutospacing="0" w:after="300" w:afterAutospacing="0"/>
        <w:rPr>
          <w:rFonts w:ascii="Arial" w:hAnsi="Arial" w:cs="Arial"/>
        </w:rPr>
      </w:pPr>
      <w:r w:rsidRPr="00B46382">
        <w:rPr>
          <w:rFonts w:ascii="Arial" w:hAnsi="Arial" w:cs="Arial"/>
        </w:rPr>
        <w:lastRenderedPageBreak/>
        <w:t>APP activity</w:t>
      </w:r>
      <w:r w:rsidR="009E2B3F" w:rsidRPr="00B46382">
        <w:rPr>
          <w:rFonts w:ascii="Arial" w:hAnsi="Arial" w:cs="Arial"/>
        </w:rPr>
        <w:t>, updates and</w:t>
      </w:r>
      <w:r w:rsidRPr="00B46382">
        <w:rPr>
          <w:rFonts w:ascii="Arial" w:hAnsi="Arial" w:cs="Arial"/>
        </w:rPr>
        <w:t xml:space="preserve"> findi</w:t>
      </w:r>
      <w:r w:rsidR="009E2B3F" w:rsidRPr="00B46382">
        <w:rPr>
          <w:rFonts w:ascii="Arial" w:hAnsi="Arial" w:cs="Arial"/>
        </w:rPr>
        <w:t>ngs</w:t>
      </w:r>
      <w:r w:rsidRPr="00B46382">
        <w:rPr>
          <w:rFonts w:ascii="Arial" w:hAnsi="Arial" w:cs="Arial"/>
        </w:rPr>
        <w:t xml:space="preserve"> will also be a new agenda item of our already existing Student Association Meetings. Here we will consult with students and ensure the APP is a key item for our student voice.</w:t>
      </w:r>
    </w:p>
    <w:p w14:paraId="66997D67" w14:textId="21E3C9D4" w:rsidR="000F5A3E" w:rsidRPr="00B46382" w:rsidRDefault="00D9023B" w:rsidP="00036E28">
      <w:pPr>
        <w:spacing w:after="0" w:line="240" w:lineRule="auto"/>
        <w:textAlignment w:val="baseline"/>
        <w:rPr>
          <w:rFonts w:cs="Arial"/>
          <w:color w:val="000000" w:themeColor="text1"/>
          <w:szCs w:val="24"/>
        </w:rPr>
      </w:pPr>
      <w:r w:rsidRPr="00B46382">
        <w:rPr>
          <w:rFonts w:cs="Arial"/>
          <w:color w:val="000000" w:themeColor="text1"/>
          <w:szCs w:val="24"/>
        </w:rPr>
        <w:t xml:space="preserve">Our APP </w:t>
      </w:r>
      <w:r w:rsidR="00DA4D01" w:rsidRPr="00B46382">
        <w:rPr>
          <w:rFonts w:cs="Arial"/>
          <w:color w:val="000000" w:themeColor="text1"/>
          <w:szCs w:val="24"/>
        </w:rPr>
        <w:t>is directly underpinned by</w:t>
      </w:r>
      <w:r w:rsidRPr="00B46382">
        <w:rPr>
          <w:rFonts w:cs="Arial"/>
          <w:color w:val="000000" w:themeColor="text1"/>
          <w:szCs w:val="24"/>
        </w:rPr>
        <w:t xml:space="preserve"> our Equality, Diversity and Inclusivity policy. Although we are </w:t>
      </w:r>
      <w:r w:rsidR="00F3069E" w:rsidRPr="00B46382">
        <w:rPr>
          <w:rFonts w:cs="Arial"/>
          <w:color w:val="000000" w:themeColor="text1"/>
          <w:szCs w:val="24"/>
        </w:rPr>
        <w:t xml:space="preserve">focussed on </w:t>
      </w:r>
      <w:r w:rsidRPr="00B46382">
        <w:rPr>
          <w:rFonts w:cs="Arial"/>
          <w:color w:val="000000" w:themeColor="text1"/>
          <w:szCs w:val="24"/>
        </w:rPr>
        <w:t xml:space="preserve">our two key targets to reduce the achievement gap between the least and most deprived students (PTS_1) and young and mature students (PTS_2) our work will always ensure that </w:t>
      </w:r>
      <w:r w:rsidR="00A65311" w:rsidRPr="00B46382">
        <w:rPr>
          <w:rFonts w:cs="Arial"/>
          <w:color w:val="000000" w:themeColor="text1"/>
          <w:szCs w:val="24"/>
        </w:rPr>
        <w:t>under-represented groups (U</w:t>
      </w:r>
      <w:r w:rsidR="00F3069E" w:rsidRPr="00B46382">
        <w:rPr>
          <w:rFonts w:cs="Arial"/>
          <w:color w:val="000000" w:themeColor="text1"/>
          <w:szCs w:val="24"/>
        </w:rPr>
        <w:t>RGs</w:t>
      </w:r>
      <w:r w:rsidR="00A65311" w:rsidRPr="00B46382">
        <w:rPr>
          <w:rFonts w:cs="Arial"/>
          <w:color w:val="000000" w:themeColor="text1"/>
          <w:szCs w:val="24"/>
        </w:rPr>
        <w:t>)</w:t>
      </w:r>
      <w:r w:rsidRPr="00B46382">
        <w:rPr>
          <w:rFonts w:cs="Arial"/>
          <w:color w:val="000000" w:themeColor="text1"/>
          <w:szCs w:val="24"/>
        </w:rPr>
        <w:t xml:space="preserve"> </w:t>
      </w:r>
      <w:r w:rsidR="00FF11CE" w:rsidRPr="00B46382">
        <w:rPr>
          <w:rFonts w:cs="Arial"/>
          <w:color w:val="000000" w:themeColor="text1"/>
          <w:szCs w:val="24"/>
        </w:rPr>
        <w:t>(</w:t>
      </w:r>
      <w:r w:rsidRPr="00B46382">
        <w:rPr>
          <w:rFonts w:cs="Arial"/>
          <w:color w:val="000000" w:themeColor="text1"/>
          <w:szCs w:val="24"/>
        </w:rPr>
        <w:t>e.g.</w:t>
      </w:r>
      <w:r w:rsidR="000F5A3E" w:rsidRPr="00B46382">
        <w:rPr>
          <w:rFonts w:cs="Arial"/>
          <w:color w:val="000000" w:themeColor="text1"/>
          <w:szCs w:val="24"/>
        </w:rPr>
        <w:t xml:space="preserve"> </w:t>
      </w:r>
      <w:r w:rsidR="00FF11CE" w:rsidRPr="00B46382">
        <w:rPr>
          <w:rFonts w:cs="Arial"/>
          <w:color w:val="000000" w:themeColor="text1"/>
          <w:szCs w:val="24"/>
        </w:rPr>
        <w:t>race, age, sexual orientation, gender reassignment, disability etc</w:t>
      </w:r>
      <w:r w:rsidR="00F3069E" w:rsidRPr="00B46382">
        <w:rPr>
          <w:rFonts w:cs="Arial"/>
          <w:color w:val="000000" w:themeColor="text1"/>
          <w:szCs w:val="24"/>
        </w:rPr>
        <w:t>.</w:t>
      </w:r>
      <w:r w:rsidR="00FF11CE" w:rsidRPr="00B46382">
        <w:rPr>
          <w:rFonts w:cs="Arial"/>
          <w:color w:val="000000" w:themeColor="text1"/>
          <w:szCs w:val="24"/>
        </w:rPr>
        <w:t xml:space="preserve">) </w:t>
      </w:r>
      <w:r w:rsidRPr="00B46382">
        <w:rPr>
          <w:rFonts w:cs="Arial"/>
          <w:color w:val="000000" w:themeColor="text1"/>
          <w:szCs w:val="24"/>
        </w:rPr>
        <w:t xml:space="preserve">will always be </w:t>
      </w:r>
      <w:r w:rsidR="003F26E4" w:rsidRPr="00B46382">
        <w:rPr>
          <w:rFonts w:cs="Arial"/>
          <w:color w:val="000000" w:themeColor="text1"/>
          <w:szCs w:val="24"/>
        </w:rPr>
        <w:t>considered</w:t>
      </w:r>
      <w:r w:rsidR="000F5A3E" w:rsidRPr="00B46382">
        <w:rPr>
          <w:rFonts w:cs="Arial"/>
          <w:color w:val="000000" w:themeColor="text1"/>
          <w:szCs w:val="24"/>
        </w:rPr>
        <w:t>.</w:t>
      </w:r>
      <w:r w:rsidR="00036E28" w:rsidRPr="00B46382">
        <w:rPr>
          <w:rFonts w:cs="Arial"/>
          <w:color w:val="000000" w:themeColor="text1"/>
          <w:szCs w:val="24"/>
        </w:rPr>
        <w:t xml:space="preserve"> </w:t>
      </w:r>
      <w:r w:rsidR="000F5A3E" w:rsidRPr="00B46382">
        <w:rPr>
          <w:rFonts w:cs="Arial"/>
          <w:color w:val="000000" w:themeColor="text1"/>
          <w:szCs w:val="24"/>
        </w:rPr>
        <w:t>Indeed, some of the planned intervention strategies directly support</w:t>
      </w:r>
      <w:r w:rsidR="0069415F" w:rsidRPr="00B46382">
        <w:rPr>
          <w:rFonts w:cs="Arial"/>
          <w:color w:val="000000" w:themeColor="text1"/>
          <w:szCs w:val="24"/>
        </w:rPr>
        <w:t>s</w:t>
      </w:r>
      <w:r w:rsidR="000F5A3E" w:rsidRPr="00B46382">
        <w:rPr>
          <w:rFonts w:cs="Arial"/>
          <w:color w:val="000000" w:themeColor="text1"/>
          <w:szCs w:val="24"/>
        </w:rPr>
        <w:t xml:space="preserve"> URGs, </w:t>
      </w:r>
      <w:r w:rsidR="00B26281" w:rsidRPr="00B46382">
        <w:rPr>
          <w:rFonts w:cs="Arial"/>
          <w:color w:val="000000" w:themeColor="text1"/>
          <w:szCs w:val="24"/>
        </w:rPr>
        <w:t>(IS1.1</w:t>
      </w:r>
      <w:r w:rsidR="00EF1DFC" w:rsidRPr="00B46382">
        <w:rPr>
          <w:rFonts w:cs="Arial"/>
          <w:color w:val="000000" w:themeColor="text1"/>
          <w:szCs w:val="24"/>
        </w:rPr>
        <w:t xml:space="preserve"> Disability Support Allowance</w:t>
      </w:r>
      <w:r w:rsidR="00B26281" w:rsidRPr="00B46382">
        <w:rPr>
          <w:rFonts w:cs="Arial"/>
          <w:color w:val="000000" w:themeColor="text1"/>
          <w:szCs w:val="24"/>
        </w:rPr>
        <w:t>)</w:t>
      </w:r>
      <w:r w:rsidR="000F5A3E" w:rsidRPr="00B46382">
        <w:rPr>
          <w:rFonts w:cs="Arial"/>
          <w:color w:val="000000" w:themeColor="text1"/>
          <w:szCs w:val="24"/>
        </w:rPr>
        <w:t>. Th</w:t>
      </w:r>
      <w:r w:rsidR="00FF11CE" w:rsidRPr="00B46382">
        <w:rPr>
          <w:rFonts w:cs="Arial"/>
          <w:color w:val="000000" w:themeColor="text1"/>
          <w:szCs w:val="24"/>
        </w:rPr>
        <w:t>is</w:t>
      </w:r>
      <w:r w:rsidR="000F5A3E" w:rsidRPr="00B46382">
        <w:rPr>
          <w:rFonts w:cs="Arial"/>
          <w:color w:val="000000" w:themeColor="text1"/>
          <w:szCs w:val="24"/>
        </w:rPr>
        <w:t xml:space="preserve"> mindful inclusion of URGs </w:t>
      </w:r>
      <w:r w:rsidR="00FF11CE" w:rsidRPr="00B46382">
        <w:rPr>
          <w:rFonts w:cs="Arial"/>
          <w:color w:val="000000" w:themeColor="text1"/>
          <w:szCs w:val="24"/>
        </w:rPr>
        <w:t xml:space="preserve">is at the heart of our college values </w:t>
      </w:r>
      <w:r w:rsidR="00861E37" w:rsidRPr="00B46382">
        <w:rPr>
          <w:rFonts w:cs="Arial"/>
          <w:color w:val="000000" w:themeColor="text1"/>
          <w:szCs w:val="24"/>
        </w:rPr>
        <w:t xml:space="preserve">and </w:t>
      </w:r>
      <w:r w:rsidR="000F5A3E" w:rsidRPr="00B46382">
        <w:rPr>
          <w:rFonts w:cs="Arial"/>
          <w:color w:val="000000" w:themeColor="text1"/>
          <w:szCs w:val="24"/>
        </w:rPr>
        <w:t>pays due regard to the Equality Act (2010</w:t>
      </w:r>
      <w:bookmarkStart w:id="0" w:name="_Hlk174880542"/>
      <w:r w:rsidR="00CA30C8" w:rsidRPr="00B46382">
        <w:rPr>
          <w:rFonts w:cs="Arial"/>
          <w:color w:val="000000" w:themeColor="text1"/>
          <w:szCs w:val="24"/>
        </w:rPr>
        <w:t>).</w:t>
      </w:r>
      <w:r w:rsidR="000F5A3E" w:rsidRPr="00B46382">
        <w:rPr>
          <w:rFonts w:cs="Arial"/>
          <w:color w:val="000000" w:themeColor="text1"/>
          <w:szCs w:val="24"/>
        </w:rPr>
        <w:t xml:space="preserve"> </w:t>
      </w:r>
    </w:p>
    <w:p w14:paraId="42CFF5CB" w14:textId="77777777" w:rsidR="00C12478" w:rsidRPr="00B46382" w:rsidRDefault="00C12478" w:rsidP="00036E28">
      <w:pPr>
        <w:spacing w:after="0" w:line="240" w:lineRule="auto"/>
        <w:textAlignment w:val="baseline"/>
        <w:rPr>
          <w:rFonts w:eastAsia="Times New Roman" w:cs="Arial"/>
          <w:b/>
          <w:bCs/>
          <w:szCs w:val="24"/>
          <w:lang w:eastAsia="en-GB"/>
        </w:rPr>
      </w:pPr>
    </w:p>
    <w:bookmarkEnd w:id="0"/>
    <w:p w14:paraId="07784A0B" w14:textId="6A3C52C3" w:rsidR="00CB033A" w:rsidRPr="00B46382" w:rsidRDefault="00CA30C8" w:rsidP="00C14E5F">
      <w:pPr>
        <w:rPr>
          <w:rFonts w:cs="Arial"/>
          <w:szCs w:val="24"/>
        </w:rPr>
      </w:pPr>
      <w:r w:rsidRPr="00B46382">
        <w:rPr>
          <w:rFonts w:cs="Arial"/>
          <w:szCs w:val="24"/>
        </w:rPr>
        <w:t xml:space="preserve">We work with GHWY across our whole institution. Our HE Quality Manager is a member of the Board of GHWY, which convenes senior and strategic representatives from across the member institutions to provide governance and strategic steer for the work of the partnership. Our HE Quality Manager is also a member of GHWY’s ‘Access and Participation Strategy Group’ </w:t>
      </w:r>
      <w:r w:rsidR="009A5DA8" w:rsidRPr="00B46382">
        <w:rPr>
          <w:rFonts w:cs="Arial"/>
          <w:szCs w:val="24"/>
        </w:rPr>
        <w:t xml:space="preserve">(APSG) </w:t>
      </w:r>
      <w:r w:rsidRPr="00B46382">
        <w:rPr>
          <w:rFonts w:cs="Arial"/>
          <w:szCs w:val="24"/>
        </w:rPr>
        <w:t xml:space="preserve">which convenes senior representatives to discuss and respond collectively to local and national issues, as well as maintain operational oversight of GHWY’s activity. </w:t>
      </w:r>
      <w:r w:rsidR="005D1638" w:rsidRPr="00B46382">
        <w:rPr>
          <w:rFonts w:cs="Arial"/>
          <w:szCs w:val="24"/>
        </w:rPr>
        <w:t>Our SEND Manager also represents KC</w:t>
      </w:r>
      <w:r w:rsidR="00C9755A" w:rsidRPr="00B46382">
        <w:rPr>
          <w:rFonts w:cs="Arial"/>
          <w:szCs w:val="24"/>
        </w:rPr>
        <w:t xml:space="preserve"> as a member of the </w:t>
      </w:r>
      <w:r w:rsidR="005D1638" w:rsidRPr="00B46382">
        <w:rPr>
          <w:rFonts w:cs="Arial"/>
          <w:szCs w:val="24"/>
        </w:rPr>
        <w:t xml:space="preserve">Disabled Students Network </w:t>
      </w:r>
      <w:r w:rsidR="00C9755A" w:rsidRPr="00B46382">
        <w:rPr>
          <w:rFonts w:cs="Arial"/>
          <w:szCs w:val="24"/>
        </w:rPr>
        <w:t xml:space="preserve">which </w:t>
      </w:r>
      <w:r w:rsidR="005D1638" w:rsidRPr="00B46382">
        <w:rPr>
          <w:rFonts w:cs="Arial"/>
          <w:szCs w:val="24"/>
        </w:rPr>
        <w:t xml:space="preserve">brings together staff </w:t>
      </w:r>
      <w:r w:rsidR="00C9755A" w:rsidRPr="00B46382">
        <w:rPr>
          <w:rFonts w:cs="Arial"/>
          <w:szCs w:val="24"/>
        </w:rPr>
        <w:t xml:space="preserve">across from other FE/HE providers </w:t>
      </w:r>
      <w:r w:rsidR="005D1638" w:rsidRPr="00B46382">
        <w:rPr>
          <w:rFonts w:cs="Arial"/>
          <w:szCs w:val="24"/>
        </w:rPr>
        <w:t xml:space="preserve">dedicated to improving </w:t>
      </w:r>
      <w:r w:rsidR="005D1638" w:rsidRPr="00B46382">
        <w:rPr>
          <w:rFonts w:cs="Arial"/>
          <w:color w:val="000000" w:themeColor="text1"/>
          <w:szCs w:val="24"/>
        </w:rPr>
        <w:t>experiences and outcomes for disabled students.</w:t>
      </w:r>
    </w:p>
    <w:p w14:paraId="3F0DC837" w14:textId="77777777" w:rsidR="00CA30C8" w:rsidRPr="00B46382" w:rsidRDefault="00CA30C8" w:rsidP="00CA30C8">
      <w:pPr>
        <w:spacing w:after="120"/>
        <w:rPr>
          <w:rFonts w:cs="Arial"/>
          <w:szCs w:val="24"/>
        </w:rPr>
      </w:pPr>
      <w:r w:rsidRPr="00B46382">
        <w:rPr>
          <w:rFonts w:cs="Arial"/>
          <w:szCs w:val="24"/>
        </w:rPr>
        <w:t>GHWY brings together member institutions and stakeholders to ensure that in our local area:</w:t>
      </w:r>
    </w:p>
    <w:p w14:paraId="0EC6C119" w14:textId="77777777" w:rsidR="00CA30C8" w:rsidRPr="00B46382" w:rsidRDefault="00CA30C8" w:rsidP="00CA30C8">
      <w:pPr>
        <w:pStyle w:val="ListParagraph"/>
        <w:numPr>
          <w:ilvl w:val="0"/>
          <w:numId w:val="21"/>
        </w:numPr>
        <w:spacing w:after="120" w:line="259" w:lineRule="auto"/>
        <w:rPr>
          <w:rFonts w:cs="Arial"/>
        </w:rPr>
      </w:pPr>
      <w:r w:rsidRPr="00B46382">
        <w:rPr>
          <w:rFonts w:cs="Arial"/>
        </w:rPr>
        <w:t>Individuals have equal opportunity to develop the knowledge and skills required to be accepted onto higher education courses that match their expectations</w:t>
      </w:r>
    </w:p>
    <w:p w14:paraId="79EA8AC2" w14:textId="5260A250" w:rsidR="00CA30C8" w:rsidRPr="00B46382" w:rsidRDefault="00CA30C8" w:rsidP="00CA30C8">
      <w:pPr>
        <w:spacing w:after="120"/>
        <w:rPr>
          <w:rFonts w:cs="Arial"/>
          <w:szCs w:val="24"/>
        </w:rPr>
      </w:pPr>
      <w:r w:rsidRPr="00B46382">
        <w:rPr>
          <w:rFonts w:cs="Arial"/>
          <w:szCs w:val="24"/>
        </w:rPr>
        <w:t>This is supported through GHWY’s Uni Connect funded Attainment-Raising programme, which is delivered by our Uni Connect-funded Outreach Officer. The programme works in target schools with individuals in receipt of Free School Meals and seeks to develop metacognitive skills to support attainment across a range of subjects.</w:t>
      </w:r>
      <w:r w:rsidR="00200697" w:rsidRPr="00B46382">
        <w:rPr>
          <w:rFonts w:cs="Arial"/>
          <w:szCs w:val="24"/>
        </w:rPr>
        <w:t xml:space="preserve"> Continuation of this activity will depend on Uni Connect funding being available, and this activity remaining within scope.</w:t>
      </w:r>
    </w:p>
    <w:p w14:paraId="35DA3AE6" w14:textId="77777777" w:rsidR="00CA30C8" w:rsidRPr="00B46382" w:rsidRDefault="00CA30C8" w:rsidP="00CA30C8">
      <w:pPr>
        <w:pStyle w:val="ListParagraph"/>
        <w:numPr>
          <w:ilvl w:val="0"/>
          <w:numId w:val="21"/>
        </w:numPr>
        <w:spacing w:after="120" w:line="259" w:lineRule="auto"/>
        <w:rPr>
          <w:rFonts w:cs="Arial"/>
        </w:rPr>
      </w:pPr>
      <w:r w:rsidRPr="00B46382">
        <w:rPr>
          <w:rFonts w:cs="Arial"/>
        </w:rPr>
        <w:t>Individuals have equal opportunity to receive the information and guidance that will enable them to develop ambition and expectations, and to make informed choices about their higher education options.</w:t>
      </w:r>
    </w:p>
    <w:p w14:paraId="5A8DF932" w14:textId="4447BE46" w:rsidR="0055724C" w:rsidRPr="0055724C" w:rsidRDefault="00CA30C8" w:rsidP="0055724C">
      <w:pPr>
        <w:spacing w:after="120"/>
        <w:rPr>
          <w:rFonts w:cs="Arial"/>
          <w:szCs w:val="24"/>
        </w:rPr>
      </w:pPr>
      <w:r w:rsidRPr="00B46382">
        <w:rPr>
          <w:rFonts w:cs="Arial"/>
          <w:szCs w:val="24"/>
        </w:rPr>
        <w:t>This is supported through two separate initiatives: we fund a role within GHWY which delivers our ‘Care to Go Higher’ programme, and we host a Uni Connect Outreach Officer who is responsible for delivering ‘Go Higher In…’ days. Care to Go Higher includes a CPD programme for those who work with, support and advise care-experienced and estranged individuals. It is based on research evidence</w:t>
      </w:r>
      <w:r w:rsidR="00A759B4" w:rsidRPr="00B46382">
        <w:rPr>
          <w:rFonts w:cs="Arial"/>
          <w:szCs w:val="24"/>
        </w:rPr>
        <w:t xml:space="preserve"> </w:t>
      </w:r>
      <w:r w:rsidRPr="00B46382">
        <w:rPr>
          <w:rFonts w:cs="Arial"/>
          <w:szCs w:val="24"/>
        </w:rPr>
        <w:t xml:space="preserve">of a need for increased knowledge and experience of higher education pathways </w:t>
      </w:r>
      <w:r w:rsidRPr="00B46382">
        <w:rPr>
          <w:rFonts w:cs="Arial"/>
          <w:color w:val="000000" w:themeColor="text1"/>
          <w:szCs w:val="24"/>
        </w:rPr>
        <w:t>in order to better inform and encourage the young people in their care</w:t>
      </w:r>
      <w:r w:rsidR="002148DD" w:rsidRPr="00B46382">
        <w:rPr>
          <w:rFonts w:cs="Arial"/>
          <w:color w:val="000000" w:themeColor="text1"/>
          <w:szCs w:val="24"/>
        </w:rPr>
        <w:t xml:space="preserve"> (Jackson et al, 2005</w:t>
      </w:r>
      <w:r w:rsidR="00A55F84" w:rsidRPr="00B46382">
        <w:rPr>
          <w:rFonts w:cs="Arial"/>
          <w:color w:val="000000" w:themeColor="text1"/>
          <w:szCs w:val="24"/>
        </w:rPr>
        <w:t>)</w:t>
      </w:r>
      <w:r w:rsidR="002148DD" w:rsidRPr="00B46382">
        <w:rPr>
          <w:rFonts w:cs="Arial"/>
          <w:color w:val="000000" w:themeColor="text1"/>
          <w:szCs w:val="24"/>
        </w:rPr>
        <w:t xml:space="preserve"> </w:t>
      </w:r>
      <w:r w:rsidRPr="00B46382">
        <w:rPr>
          <w:rFonts w:cs="Arial"/>
          <w:color w:val="000000" w:themeColor="text1"/>
          <w:szCs w:val="24"/>
        </w:rPr>
        <w:t xml:space="preserve"> ‘Go Higher In…’ days each focus on a priority sector in West Yorkshire, and bring </w:t>
      </w:r>
      <w:r w:rsidRPr="00B46382">
        <w:rPr>
          <w:rFonts w:cs="Arial"/>
          <w:color w:val="000000" w:themeColor="text1"/>
          <w:szCs w:val="24"/>
        </w:rPr>
        <w:lastRenderedPageBreak/>
        <w:t>together a range of HEPs with different HE courses, qualifications and specialisms which are relevant to that particular sector, along with the West Yorkshire Combined Authority, employers and other relevant stakeholders. They provide impartial information and advice on the range of careers available, and a range of education routes to reach them. Continuation of this activity will depend on Uni Connect funding being available, and this activity remaining within scope</w:t>
      </w:r>
      <w:r w:rsidR="00934409" w:rsidRPr="00B46382">
        <w:rPr>
          <w:rFonts w:cs="Arial"/>
          <w:color w:val="000000" w:themeColor="text1"/>
          <w:szCs w:val="24"/>
        </w:rPr>
        <w:t>.</w:t>
      </w:r>
      <w:r w:rsidR="001734A7" w:rsidRPr="00B46382">
        <w:rPr>
          <w:rFonts w:cs="Arial"/>
          <w:color w:val="000000" w:themeColor="text1"/>
          <w:szCs w:val="24"/>
        </w:rPr>
        <w:t xml:space="preserve"> </w:t>
      </w:r>
      <w:r w:rsidR="001734A7" w:rsidRPr="00B46382">
        <w:rPr>
          <w:rFonts w:cs="Arial"/>
          <w:szCs w:val="24"/>
        </w:rPr>
        <w:t xml:space="preserve">‘Go Higher In…’ sector-focused careers and education pathways days for Y7-12 </w:t>
      </w:r>
      <w:r w:rsidR="00DD4434" w:rsidRPr="00B46382">
        <w:rPr>
          <w:rFonts w:cs="Arial"/>
          <w:szCs w:val="24"/>
        </w:rPr>
        <w:t xml:space="preserve">are </w:t>
      </w:r>
      <w:r w:rsidR="001734A7" w:rsidRPr="00B46382">
        <w:rPr>
          <w:rFonts w:cs="Arial"/>
          <w:szCs w:val="24"/>
        </w:rPr>
        <w:t>formerly known as ‘Collaborative Taster Days’</w:t>
      </w:r>
      <w:r w:rsidR="007F4C29" w:rsidRPr="00B46382">
        <w:rPr>
          <w:rFonts w:cs="Arial"/>
          <w:szCs w:val="24"/>
        </w:rPr>
        <w:t>.</w:t>
      </w:r>
      <w:r w:rsidR="001734A7" w:rsidRPr="00B46382">
        <w:rPr>
          <w:rFonts w:cs="Arial"/>
          <w:szCs w:val="24"/>
        </w:rPr>
        <w:t xml:space="preserve"> </w:t>
      </w:r>
      <w:r w:rsidR="00112D0A" w:rsidRPr="00B46382">
        <w:rPr>
          <w:rFonts w:cs="Arial"/>
          <w:szCs w:val="24"/>
        </w:rPr>
        <w:t xml:space="preserve">This initiative </w:t>
      </w:r>
      <w:r w:rsidR="001734A7" w:rsidRPr="00B46382">
        <w:rPr>
          <w:rFonts w:cs="Arial"/>
          <w:szCs w:val="24"/>
        </w:rPr>
        <w:t>target</w:t>
      </w:r>
      <w:r w:rsidR="00112D0A" w:rsidRPr="00B46382">
        <w:rPr>
          <w:rFonts w:cs="Arial"/>
          <w:szCs w:val="24"/>
        </w:rPr>
        <w:t>s</w:t>
      </w:r>
      <w:r w:rsidR="001734A7" w:rsidRPr="00B46382">
        <w:rPr>
          <w:rFonts w:cs="Arial"/>
          <w:szCs w:val="24"/>
        </w:rPr>
        <w:t xml:space="preserve"> groups of students from low-participation neighbourhoods, with a focus on those eligible for Free School Meals or from one of GHWY’s key URGs (Males on free school meals, care-experienced, Black, Asian and </w:t>
      </w:r>
      <w:proofErr w:type="spellStart"/>
      <w:r w:rsidR="001734A7" w:rsidRPr="00B46382">
        <w:rPr>
          <w:rFonts w:cs="Arial"/>
          <w:szCs w:val="24"/>
        </w:rPr>
        <w:t>minoritised</w:t>
      </w:r>
      <w:proofErr w:type="spellEnd"/>
      <w:r w:rsidR="001734A7" w:rsidRPr="00B46382">
        <w:rPr>
          <w:rFonts w:cs="Arial"/>
          <w:szCs w:val="24"/>
        </w:rPr>
        <w:t xml:space="preserve"> ethnicities, </w:t>
      </w:r>
      <w:r w:rsidR="0089201D" w:rsidRPr="00B46382">
        <w:rPr>
          <w:rFonts w:cs="Arial"/>
          <w:szCs w:val="24"/>
        </w:rPr>
        <w:t xml:space="preserve">and </w:t>
      </w:r>
      <w:r w:rsidR="001734A7" w:rsidRPr="00B46382">
        <w:rPr>
          <w:rFonts w:cs="Arial"/>
          <w:szCs w:val="24"/>
        </w:rPr>
        <w:t>SEND learners). Outcome indicators are improved access to information about and knowledge of an increased range of possible future careers and higher education options (</w:t>
      </w:r>
      <w:r w:rsidR="00112D0A" w:rsidRPr="00B46382">
        <w:rPr>
          <w:rFonts w:cs="Arial"/>
          <w:szCs w:val="24"/>
        </w:rPr>
        <w:t xml:space="preserve">life cycle stage: </w:t>
      </w:r>
      <w:r w:rsidR="001734A7" w:rsidRPr="00B46382">
        <w:rPr>
          <w:rFonts w:cs="Arial"/>
          <w:szCs w:val="24"/>
        </w:rPr>
        <w:t>access).</w:t>
      </w:r>
      <w:r w:rsidR="004C09AC" w:rsidRPr="00B46382">
        <w:rPr>
          <w:rFonts w:cs="Arial"/>
          <w:szCs w:val="24"/>
        </w:rPr>
        <w:t xml:space="preserve"> </w:t>
      </w:r>
      <w:r w:rsidR="00A12B8A" w:rsidRPr="00B46382">
        <w:rPr>
          <w:rFonts w:cs="Arial"/>
          <w:szCs w:val="24"/>
        </w:rPr>
        <w:t>Recent Go Higher days have included</w:t>
      </w:r>
      <w:r w:rsidR="004C09AC" w:rsidRPr="00B46382">
        <w:rPr>
          <w:rFonts w:cs="Arial"/>
          <w:szCs w:val="24"/>
        </w:rPr>
        <w:t xml:space="preserve"> a STEM day at Leeds Beckett University</w:t>
      </w:r>
      <w:r w:rsidR="004F3906" w:rsidRPr="00B46382">
        <w:rPr>
          <w:rFonts w:cs="Arial"/>
          <w:szCs w:val="24"/>
        </w:rPr>
        <w:t xml:space="preserve"> involving our Engineering team. </w:t>
      </w:r>
      <w:r w:rsidR="002160ED" w:rsidRPr="00B46382">
        <w:rPr>
          <w:rFonts w:cs="Arial"/>
          <w:szCs w:val="24"/>
        </w:rPr>
        <w:t>We have also hosted similar activity at our Engineering Centre for</w:t>
      </w:r>
      <w:r w:rsidR="00D16033" w:rsidRPr="00B46382">
        <w:rPr>
          <w:rFonts w:cs="Arial"/>
          <w:szCs w:val="24"/>
        </w:rPr>
        <w:t xml:space="preserve"> the last 2 years</w:t>
      </w:r>
      <w:r w:rsidR="006076CE" w:rsidRPr="00B46382">
        <w:rPr>
          <w:rFonts w:cs="Arial"/>
          <w:szCs w:val="24"/>
        </w:rPr>
        <w:t xml:space="preserve"> with our ‘Building Bridges’ day</w:t>
      </w:r>
      <w:r w:rsidR="00D16033" w:rsidRPr="00B46382">
        <w:rPr>
          <w:rFonts w:cs="Arial"/>
          <w:szCs w:val="24"/>
        </w:rPr>
        <w:t>.</w:t>
      </w:r>
      <w:r w:rsidR="004C09AC" w:rsidRPr="00B46382">
        <w:rPr>
          <w:rFonts w:cs="Arial"/>
          <w:szCs w:val="24"/>
        </w:rPr>
        <w:t xml:space="preserve"> </w:t>
      </w:r>
    </w:p>
    <w:p w14:paraId="19011FFF" w14:textId="1B853071" w:rsidR="00757BF2" w:rsidRPr="0055724C" w:rsidRDefault="006224E5" w:rsidP="0055724C">
      <w:pPr>
        <w:pStyle w:val="Heading2"/>
      </w:pPr>
      <w:r w:rsidRPr="00B46382">
        <w:t>6.</w:t>
      </w:r>
      <w:r w:rsidR="000E7E7B" w:rsidRPr="00B46382">
        <w:t>Student Consultation</w:t>
      </w:r>
    </w:p>
    <w:p w14:paraId="5B352804" w14:textId="77777777" w:rsidR="00757BF2" w:rsidRPr="00B46382" w:rsidRDefault="00757BF2" w:rsidP="00757BF2">
      <w:pPr>
        <w:rPr>
          <w:rFonts w:cs="Arial"/>
          <w:szCs w:val="24"/>
        </w:rPr>
      </w:pPr>
      <w:r w:rsidRPr="00B46382">
        <w:rPr>
          <w:rFonts w:cs="Arial"/>
          <w:szCs w:val="24"/>
        </w:rPr>
        <w:t xml:space="preserve">Each HE </w:t>
      </w:r>
      <w:proofErr w:type="gramStart"/>
      <w:r w:rsidRPr="00B46382">
        <w:rPr>
          <w:rFonts w:cs="Arial"/>
          <w:szCs w:val="24"/>
        </w:rPr>
        <w:t>programme</w:t>
      </w:r>
      <w:proofErr w:type="gramEnd"/>
      <w:r w:rsidRPr="00B46382">
        <w:rPr>
          <w:rFonts w:cs="Arial"/>
          <w:szCs w:val="24"/>
        </w:rPr>
        <w:t xml:space="preserve"> early in the academic year is elected a student representative. Key responsibilities of the HE student representative is to attend Student Association Meetings, input HE Committee Meetings, listen to fellow students’ views, concerns and academic issues, feedback results of representations to fellow students and liaise with other student representatives. </w:t>
      </w:r>
    </w:p>
    <w:p w14:paraId="214D0C01" w14:textId="1C747A50" w:rsidR="00757BF2" w:rsidRPr="00B46382" w:rsidRDefault="00757BF2" w:rsidP="00757BF2">
      <w:pPr>
        <w:rPr>
          <w:rFonts w:cs="Arial"/>
          <w:szCs w:val="24"/>
        </w:rPr>
      </w:pPr>
      <w:r w:rsidRPr="00B46382">
        <w:rPr>
          <w:rFonts w:cs="Arial"/>
          <w:szCs w:val="24"/>
        </w:rPr>
        <w:t xml:space="preserve">23/24 Student Association Meetings with our HE Manager and HE </w:t>
      </w:r>
      <w:r w:rsidR="009B5C31" w:rsidRPr="00B46382">
        <w:rPr>
          <w:rFonts w:cs="Arial"/>
          <w:szCs w:val="24"/>
        </w:rPr>
        <w:t>A</w:t>
      </w:r>
      <w:r w:rsidRPr="00B46382">
        <w:rPr>
          <w:rFonts w:cs="Arial"/>
          <w:szCs w:val="24"/>
        </w:rPr>
        <w:t>dministrator have proven an invaluable forum for students to feedback their student and academic experience. This student discussion has be</w:t>
      </w:r>
      <w:r w:rsidR="009B5C31" w:rsidRPr="00B46382">
        <w:rPr>
          <w:rFonts w:cs="Arial"/>
          <w:szCs w:val="24"/>
        </w:rPr>
        <w:t>en</w:t>
      </w:r>
      <w:r w:rsidRPr="00B46382">
        <w:rPr>
          <w:rFonts w:cs="Arial"/>
          <w:szCs w:val="24"/>
        </w:rPr>
        <w:t xml:space="preserve"> instrumental in providing rationale for and shaping our APP intervention activities (IS 1.2, 1.3, 1.4, 1.5, 1.6). We are confident that this forum captures essential feedback from all HE Programmes, and moving forward Student Association Meetings 24/25 onwards will be a recurrent agenda point and facilitate discussion around the evaluation and impact of the APP in terms of our </w:t>
      </w:r>
      <w:r w:rsidR="00661DDC" w:rsidRPr="00B46382">
        <w:rPr>
          <w:rFonts w:cs="Arial"/>
          <w:szCs w:val="24"/>
        </w:rPr>
        <w:t xml:space="preserve">activities and </w:t>
      </w:r>
      <w:r w:rsidRPr="00B46382">
        <w:rPr>
          <w:rFonts w:cs="Arial"/>
          <w:szCs w:val="24"/>
        </w:rPr>
        <w:t xml:space="preserve">targets. </w:t>
      </w:r>
    </w:p>
    <w:p w14:paraId="23D24115" w14:textId="77777777" w:rsidR="00757BF2" w:rsidRPr="00B46382" w:rsidRDefault="00757BF2" w:rsidP="00757BF2">
      <w:pPr>
        <w:rPr>
          <w:rFonts w:cs="Arial"/>
          <w:szCs w:val="24"/>
        </w:rPr>
      </w:pPr>
      <w:r w:rsidRPr="00B46382">
        <w:rPr>
          <w:rFonts w:cs="Arial"/>
          <w:szCs w:val="24"/>
        </w:rPr>
        <w:t>Importantly, the diverse backgrounds of our HE student body ensure representation from URGs, with EDI considered throughout. As a result, the plan has been shaped by students from various backgrounds including groups protected by the Equality Act, 2010 and our APP target groups.</w:t>
      </w:r>
    </w:p>
    <w:p w14:paraId="3F9FEDDE" w14:textId="77777777" w:rsidR="00D50140" w:rsidRPr="00B46382" w:rsidRDefault="00641E02" w:rsidP="00641E02">
      <w:pPr>
        <w:rPr>
          <w:rFonts w:cs="Arial"/>
          <w:szCs w:val="24"/>
        </w:rPr>
      </w:pPr>
      <w:r w:rsidRPr="00B46382">
        <w:rPr>
          <w:rFonts w:cs="Arial"/>
          <w:szCs w:val="24"/>
        </w:rPr>
        <w:t>Our KC Student Union (SU) Executive team will play a key role in providing a forum where we can share updates on APP evaluation and impact activity and to seek continual views and opinions. Presently the SU Executive team consists of the SU President, EDI Officer, Events and Activities Officer, Environment and Sustainability Officer, Higher Education Officer and Communications Officer. We are also hopeful that our SU body will become actively involved in evaluation activity where appropriate.</w:t>
      </w:r>
      <w:r w:rsidR="00C04377" w:rsidRPr="00B46382">
        <w:rPr>
          <w:rFonts w:cs="Arial"/>
          <w:szCs w:val="24"/>
        </w:rPr>
        <w:t xml:space="preserve"> </w:t>
      </w:r>
    </w:p>
    <w:p w14:paraId="3767A805" w14:textId="2CFC487B" w:rsidR="00646A81" w:rsidRPr="00B46382" w:rsidRDefault="00646A81" w:rsidP="00646A81">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lastRenderedPageBreak/>
        <w:t>Consultation with our Students' Union President has taken place, and our APP targets and activities were well received. Specific feedback was provided regarding certain activities, with discussions highlighting the added benefits of our initiatives in improving equality of opportunity. For instance, the Summer Bootcamps were recognised not only for their role in fostering academic skills but also for creating a supportive community and helping to alleviate potential anxieties prior to the start of the new academic year. Additionally, the recruitment of H</w:t>
      </w:r>
      <w:r w:rsidR="00F64C7A" w:rsidRPr="00B46382">
        <w:rPr>
          <w:rFonts w:eastAsia="Times New Roman" w:cs="Arial"/>
          <w:szCs w:val="24"/>
          <w:lang w:eastAsia="en-GB"/>
        </w:rPr>
        <w:t>E</w:t>
      </w:r>
      <w:r w:rsidRPr="00B46382">
        <w:rPr>
          <w:rFonts w:eastAsia="Times New Roman" w:cs="Arial"/>
          <w:szCs w:val="24"/>
          <w:lang w:eastAsia="en-GB"/>
        </w:rPr>
        <w:t xml:space="preserve"> student ambassadors at these events, which was also an idea proposed by the Students' Union President, was welcomed as a positive step in raising aspirations and boosting confidence among </w:t>
      </w:r>
      <w:r w:rsidR="00B36360" w:rsidRPr="00B46382">
        <w:rPr>
          <w:rFonts w:eastAsia="Times New Roman" w:cs="Arial"/>
          <w:szCs w:val="24"/>
          <w:lang w:eastAsia="en-GB"/>
        </w:rPr>
        <w:t>new students</w:t>
      </w:r>
      <w:r w:rsidRPr="00B46382">
        <w:rPr>
          <w:rFonts w:eastAsia="Times New Roman" w:cs="Arial"/>
          <w:szCs w:val="24"/>
          <w:lang w:eastAsia="en-GB"/>
        </w:rPr>
        <w:t>.</w:t>
      </w:r>
    </w:p>
    <w:p w14:paraId="1D213DA1" w14:textId="080613B4" w:rsidR="0055724C" w:rsidRPr="00516597" w:rsidRDefault="00757BF2" w:rsidP="00681166">
      <w:pPr>
        <w:rPr>
          <w:rFonts w:cs="Arial"/>
          <w:b/>
          <w:szCs w:val="24"/>
        </w:rPr>
      </w:pPr>
      <w:r w:rsidRPr="00B46382">
        <w:rPr>
          <w:rFonts w:cs="Arial"/>
          <w:szCs w:val="24"/>
        </w:rPr>
        <w:t xml:space="preserve">HE Committee Meetings are held 3 times a year with Senior and Executive Leadership Teams. This </w:t>
      </w:r>
      <w:r w:rsidR="00F102CD" w:rsidRPr="00B46382">
        <w:rPr>
          <w:rFonts w:cs="Arial"/>
          <w:szCs w:val="24"/>
        </w:rPr>
        <w:t xml:space="preserve">will </w:t>
      </w:r>
      <w:r w:rsidRPr="00B46382">
        <w:rPr>
          <w:rFonts w:cs="Arial"/>
          <w:szCs w:val="24"/>
        </w:rPr>
        <w:t xml:space="preserve">also provide a channel for student representatives to input thoughts and opinions around APP activity. We are presently electing a new Student Governor role, which we expect to take an active interest in APP activity.     </w:t>
      </w:r>
    </w:p>
    <w:p w14:paraId="4300AB3E" w14:textId="5BBAF57F" w:rsidR="00632212" w:rsidRPr="0055724C" w:rsidRDefault="00681166" w:rsidP="0055724C">
      <w:pPr>
        <w:pStyle w:val="Heading2"/>
      </w:pPr>
      <w:r w:rsidRPr="00B46382">
        <w:t>7.</w:t>
      </w:r>
      <w:r w:rsidR="00632212" w:rsidRPr="00B46382">
        <w:t xml:space="preserve">Evaluation of the Plan </w:t>
      </w:r>
    </w:p>
    <w:p w14:paraId="0BB6373A" w14:textId="77777777" w:rsidR="00632212" w:rsidRPr="00B46382" w:rsidRDefault="00632212" w:rsidP="00632212">
      <w:pPr>
        <w:rPr>
          <w:rFonts w:cs="Arial"/>
          <w:szCs w:val="24"/>
        </w:rPr>
      </w:pPr>
      <w:r w:rsidRPr="00B46382">
        <w:rPr>
          <w:rFonts w:cs="Arial"/>
          <w:szCs w:val="24"/>
        </w:rPr>
        <w:t xml:space="preserve">We fully appreciate the importance of evaluation in understanding whether or not our planned intervention activities are effectively addressing the risks to equality of opportunity. </w:t>
      </w:r>
    </w:p>
    <w:p w14:paraId="68716D68" w14:textId="77777777" w:rsidR="00632212" w:rsidRPr="00B46382" w:rsidRDefault="00632212" w:rsidP="00632212">
      <w:pPr>
        <w:rPr>
          <w:rFonts w:cs="Arial"/>
          <w:szCs w:val="24"/>
        </w:rPr>
      </w:pPr>
      <w:r w:rsidRPr="00B46382">
        <w:rPr>
          <w:rFonts w:cs="Arial"/>
          <w:szCs w:val="24"/>
        </w:rPr>
        <w:t xml:space="preserve">We have reviewed the </w:t>
      </w:r>
      <w:proofErr w:type="spellStart"/>
      <w:r w:rsidRPr="00B46382">
        <w:rPr>
          <w:rFonts w:cs="Arial"/>
          <w:szCs w:val="24"/>
        </w:rPr>
        <w:t>OfS</w:t>
      </w:r>
      <w:proofErr w:type="spellEnd"/>
      <w:r w:rsidRPr="00B46382">
        <w:rPr>
          <w:rFonts w:cs="Arial"/>
          <w:szCs w:val="24"/>
        </w:rPr>
        <w:t xml:space="preserve"> standards of evidence to support and strengthen our evaluation plans and methodologies </w:t>
      </w:r>
      <w:hyperlink r:id="rId17" w:history="1">
        <w:r w:rsidRPr="00B46382">
          <w:rPr>
            <w:rStyle w:val="Hyperlink"/>
            <w:rFonts w:cs="Arial"/>
            <w:szCs w:val="24"/>
          </w:rPr>
          <w:t xml:space="preserve">Evaluation </w:t>
        </w:r>
        <w:proofErr w:type="spellStart"/>
        <w:r w:rsidRPr="00B46382">
          <w:rPr>
            <w:rStyle w:val="Hyperlink"/>
            <w:rFonts w:cs="Arial"/>
            <w:szCs w:val="24"/>
          </w:rPr>
          <w:t>Tookit</w:t>
        </w:r>
        <w:proofErr w:type="spellEnd"/>
        <w:r w:rsidRPr="00B46382">
          <w:rPr>
            <w:rStyle w:val="Hyperlink"/>
            <w:rFonts w:cs="Arial"/>
            <w:szCs w:val="24"/>
          </w:rPr>
          <w:t xml:space="preserve"> (officeforstudents.org.uk)</w:t>
        </w:r>
      </w:hyperlink>
      <w:r w:rsidRPr="00B46382">
        <w:rPr>
          <w:rFonts w:cs="Arial"/>
          <w:szCs w:val="24"/>
        </w:rPr>
        <w:t xml:space="preserve"> and also consulted the </w:t>
      </w:r>
      <w:proofErr w:type="spellStart"/>
      <w:r w:rsidRPr="00B46382">
        <w:rPr>
          <w:rFonts w:cs="Arial"/>
          <w:szCs w:val="24"/>
        </w:rPr>
        <w:t>OfS</w:t>
      </w:r>
      <w:proofErr w:type="spellEnd"/>
      <w:r w:rsidRPr="00B46382">
        <w:rPr>
          <w:rFonts w:cs="Arial"/>
          <w:szCs w:val="24"/>
        </w:rPr>
        <w:t xml:space="preserve"> self-assessment tool to support our evaluation (</w:t>
      </w:r>
      <w:hyperlink r:id="rId18" w:history="1">
        <w:r w:rsidRPr="00B46382">
          <w:rPr>
            <w:rStyle w:val="Hyperlink"/>
            <w:rFonts w:cs="Arial"/>
            <w:szCs w:val="24"/>
          </w:rPr>
          <w:t>Standards of evidence and evaluation self-assessment tool - Office for Students</w:t>
        </w:r>
      </w:hyperlink>
      <w:r w:rsidRPr="00B46382">
        <w:rPr>
          <w:rFonts w:cs="Arial"/>
          <w:szCs w:val="24"/>
        </w:rPr>
        <w:t>). This self-assessment tool has proved invaluable in determining if our evaluation plans facilitate high quality evidence. It has also prompted with ways that we may strengthen our evaluation plan.</w:t>
      </w:r>
    </w:p>
    <w:p w14:paraId="627F179B" w14:textId="61AD781B" w:rsidR="00632212" w:rsidRPr="00B46382" w:rsidRDefault="0055724C" w:rsidP="0055724C">
      <w:pPr>
        <w:pStyle w:val="Heading3"/>
      </w:pPr>
      <w:r>
        <w:t xml:space="preserve">7.1 </w:t>
      </w:r>
      <w:r w:rsidR="00632212" w:rsidRPr="00B46382">
        <w:t xml:space="preserve">Strategic Context for Evaluation </w:t>
      </w:r>
    </w:p>
    <w:p w14:paraId="40B97392" w14:textId="77777777" w:rsidR="00632212" w:rsidRPr="00B46382" w:rsidRDefault="00632212" w:rsidP="00632212">
      <w:pPr>
        <w:rPr>
          <w:rFonts w:cs="Arial"/>
          <w:szCs w:val="24"/>
        </w:rPr>
      </w:pPr>
      <w:r w:rsidRPr="00B46382">
        <w:rPr>
          <w:rFonts w:cs="Arial"/>
          <w:szCs w:val="24"/>
        </w:rPr>
        <w:t>Intervention strategies will commence in the 2025-26 academic year, and undertake monitoring and evaluation on an ongoing basis to understand whether our planned activities are achieving their intended outcomes. Changes to design and delivery of activities will be considered where required through monitoring of our plan.</w:t>
      </w:r>
    </w:p>
    <w:p w14:paraId="25936ED9" w14:textId="0BB90DC5" w:rsidR="00632212" w:rsidRPr="00B46382" w:rsidRDefault="00632212" w:rsidP="00632212">
      <w:pPr>
        <w:pStyle w:val="NormalWeb"/>
        <w:spacing w:before="0" w:beforeAutospacing="0" w:after="300" w:afterAutospacing="0"/>
        <w:rPr>
          <w:rFonts w:ascii="Arial" w:hAnsi="Arial" w:cs="Arial"/>
        </w:rPr>
      </w:pPr>
      <w:r w:rsidRPr="00B46382">
        <w:rPr>
          <w:rFonts w:ascii="Arial" w:hAnsi="Arial" w:cs="Arial"/>
        </w:rPr>
        <w:t xml:space="preserve">An APP working group will be established to oversee the implementation of the planned activities and discuss the evaluation of outcomes. This will periodically report into HE Committee and Senior Executive Leadership team meetings, and Wider Leadership teams, as well as the Governing Body. We will also share findings with our GHWY collaborative partners at Access and Participation Strategy Group (APSG) meetings. We will also encourage the involvement of student representatives in our evaluation practice. Staff and student representatives will be supported with relevant training in Theory of Change and evaluation methods through our GHWY partners and other external organisations e.g. TASO.  </w:t>
      </w:r>
    </w:p>
    <w:p w14:paraId="24104743" w14:textId="77777777" w:rsidR="00632212" w:rsidRPr="00B46382" w:rsidRDefault="00632212" w:rsidP="00632212">
      <w:pPr>
        <w:spacing w:after="0" w:line="240" w:lineRule="auto"/>
        <w:textAlignment w:val="baseline"/>
        <w:rPr>
          <w:rFonts w:eastAsia="Times New Roman" w:cs="Arial"/>
          <w:szCs w:val="24"/>
          <w:lang w:eastAsia="en-GB"/>
        </w:rPr>
      </w:pPr>
      <w:r w:rsidRPr="00B46382">
        <w:rPr>
          <w:rFonts w:cs="Arial"/>
          <w:szCs w:val="24"/>
        </w:rPr>
        <w:lastRenderedPageBreak/>
        <w:t xml:space="preserve">Our investment in the development of our </w:t>
      </w:r>
      <w:r w:rsidRPr="00B46382">
        <w:rPr>
          <w:rFonts w:eastAsia="Times New Roman" w:cs="Arial"/>
          <w:szCs w:val="24"/>
          <w:lang w:eastAsia="en-GB"/>
        </w:rPr>
        <w:t>Management Information Systems (MIS) will also allow for some of the required monitoring and evaluation outputs. This will be vital in ensuring that HE achievement data/predicted outcomes are discussion points in Performance Management Reviews held with Senior Executive Leadership teams and drive our access and participation work.</w:t>
      </w:r>
    </w:p>
    <w:p w14:paraId="1F8A934F" w14:textId="77777777" w:rsidR="00632212" w:rsidRPr="00B46382" w:rsidRDefault="00632212" w:rsidP="00632212">
      <w:pPr>
        <w:spacing w:after="0" w:line="240" w:lineRule="auto"/>
        <w:textAlignment w:val="baseline"/>
        <w:rPr>
          <w:rFonts w:eastAsia="Times New Roman" w:cs="Arial"/>
          <w:szCs w:val="24"/>
          <w:lang w:eastAsia="en-GB"/>
        </w:rPr>
      </w:pPr>
    </w:p>
    <w:p w14:paraId="2241F97E" w14:textId="065CED9E" w:rsidR="00632212" w:rsidRPr="00B46382" w:rsidRDefault="0055724C" w:rsidP="0055724C">
      <w:pPr>
        <w:pStyle w:val="Heading3"/>
        <w:rPr>
          <w:rFonts w:eastAsia="Times New Roman"/>
          <w:lang w:eastAsia="en-GB"/>
        </w:rPr>
      </w:pPr>
      <w:r>
        <w:rPr>
          <w:rFonts w:eastAsia="Times New Roman"/>
          <w:lang w:eastAsia="en-GB"/>
        </w:rPr>
        <w:t xml:space="preserve">7.2 </w:t>
      </w:r>
      <w:r w:rsidR="00632212" w:rsidRPr="00B46382">
        <w:rPr>
          <w:rFonts w:eastAsia="Times New Roman"/>
          <w:lang w:eastAsia="en-GB"/>
        </w:rPr>
        <w:t xml:space="preserve">Activity &amp; Evaluation Design </w:t>
      </w:r>
    </w:p>
    <w:p w14:paraId="580D2EAA" w14:textId="77777777" w:rsidR="00632212" w:rsidRPr="00B46382" w:rsidRDefault="00632212" w:rsidP="00632212">
      <w:pPr>
        <w:spacing w:after="0" w:line="240" w:lineRule="auto"/>
        <w:textAlignment w:val="baseline"/>
        <w:rPr>
          <w:rFonts w:eastAsia="Times New Roman" w:cs="Arial"/>
          <w:szCs w:val="24"/>
          <w:lang w:eastAsia="en-GB"/>
        </w:rPr>
      </w:pPr>
      <w:r w:rsidRPr="00B46382">
        <w:rPr>
          <w:rFonts w:eastAsia="Times New Roman" w:cs="Arial"/>
          <w:szCs w:val="24"/>
          <w:lang w:eastAsia="en-GB"/>
        </w:rPr>
        <w:t> </w:t>
      </w:r>
    </w:p>
    <w:p w14:paraId="0CC40C13" w14:textId="5DED9671" w:rsidR="00632212" w:rsidRPr="00B46382" w:rsidRDefault="00632212" w:rsidP="00632212">
      <w:pPr>
        <w:spacing w:after="0" w:line="240" w:lineRule="auto"/>
        <w:textAlignment w:val="baseline"/>
        <w:rPr>
          <w:rFonts w:cs="Arial"/>
          <w:color w:val="000000" w:themeColor="text1"/>
          <w:szCs w:val="24"/>
          <w:u w:val="single"/>
        </w:rPr>
      </w:pPr>
      <w:r w:rsidRPr="00B46382">
        <w:rPr>
          <w:rFonts w:eastAsia="Times New Roman" w:cs="Arial"/>
          <w:szCs w:val="24"/>
          <w:lang w:eastAsia="en-GB"/>
        </w:rPr>
        <w:t xml:space="preserve">Our activity design has been considered through review of the Access and Participation Standards of Evidence </w:t>
      </w:r>
      <w:r w:rsidR="009142B8" w:rsidRPr="00B46382">
        <w:rPr>
          <w:rFonts w:eastAsia="Times New Roman" w:cs="Arial"/>
          <w:szCs w:val="24"/>
          <w:lang w:eastAsia="en-GB"/>
        </w:rPr>
        <w:t>(</w:t>
      </w:r>
      <w:hyperlink r:id="rId19" w:history="1">
        <w:r w:rsidR="009142B8" w:rsidRPr="00B46382">
          <w:rPr>
            <w:rStyle w:val="Hyperlink"/>
            <w:rFonts w:cs="Arial"/>
            <w:szCs w:val="24"/>
          </w:rPr>
          <w:t xml:space="preserve">Evaluation </w:t>
        </w:r>
        <w:proofErr w:type="spellStart"/>
        <w:r w:rsidR="009142B8" w:rsidRPr="00B46382">
          <w:rPr>
            <w:rStyle w:val="Hyperlink"/>
            <w:rFonts w:cs="Arial"/>
            <w:szCs w:val="24"/>
          </w:rPr>
          <w:t>Tookit</w:t>
        </w:r>
        <w:proofErr w:type="spellEnd"/>
        <w:r w:rsidR="009142B8" w:rsidRPr="00B46382">
          <w:rPr>
            <w:rStyle w:val="Hyperlink"/>
            <w:rFonts w:cs="Arial"/>
            <w:szCs w:val="24"/>
          </w:rPr>
          <w:t xml:space="preserve"> (officeforstudents.org.uk)</w:t>
        </w:r>
      </w:hyperlink>
      <w:r w:rsidRPr="00B46382">
        <w:rPr>
          <w:rStyle w:val="Hyperlink"/>
          <w:rFonts w:cs="Arial"/>
          <w:color w:val="000000" w:themeColor="text1"/>
          <w:szCs w:val="24"/>
        </w:rPr>
        <w:t>.</w:t>
      </w:r>
      <w:r w:rsidRPr="00B46382">
        <w:rPr>
          <w:rFonts w:eastAsia="Times New Roman" w:cs="Arial"/>
          <w:szCs w:val="24"/>
          <w:lang w:eastAsia="en-GB"/>
        </w:rPr>
        <w:t xml:space="preserve"> As discussed in section 4 we have prioritised Type 2 evidence to form our initial programme design and support us to determine how our planned intervention activities will contribute to the overall objective of our intervention strategies. Through understanding activity </w:t>
      </w:r>
      <w:proofErr w:type="gramStart"/>
      <w:r w:rsidRPr="00B46382">
        <w:rPr>
          <w:rFonts w:eastAsia="Times New Roman" w:cs="Arial"/>
          <w:szCs w:val="24"/>
          <w:lang w:eastAsia="en-GB"/>
        </w:rPr>
        <w:t>impact</w:t>
      </w:r>
      <w:proofErr w:type="gramEnd"/>
      <w:r w:rsidRPr="00B46382">
        <w:rPr>
          <w:rFonts w:eastAsia="Times New Roman" w:cs="Arial"/>
          <w:szCs w:val="24"/>
          <w:lang w:eastAsia="en-GB"/>
        </w:rPr>
        <w:t xml:space="preserve"> we will be able to respond accordingly and further tailor our study design. </w:t>
      </w:r>
    </w:p>
    <w:p w14:paraId="580FDFFC" w14:textId="77777777" w:rsidR="00632212" w:rsidRPr="00B46382" w:rsidRDefault="00632212" w:rsidP="00632212">
      <w:pPr>
        <w:spacing w:after="0" w:line="240" w:lineRule="auto"/>
        <w:textAlignment w:val="baseline"/>
        <w:rPr>
          <w:rFonts w:eastAsia="Times New Roman" w:cs="Arial"/>
          <w:szCs w:val="24"/>
          <w:lang w:eastAsia="en-GB"/>
        </w:rPr>
      </w:pPr>
    </w:p>
    <w:p w14:paraId="7410B164" w14:textId="77777777" w:rsidR="00632212" w:rsidRPr="00B46382" w:rsidRDefault="00632212" w:rsidP="00632212">
      <w:pPr>
        <w:spacing w:after="0" w:line="240" w:lineRule="auto"/>
        <w:textAlignment w:val="baseline"/>
        <w:rPr>
          <w:rFonts w:eastAsia="Times New Roman" w:cs="Arial"/>
          <w:szCs w:val="24"/>
          <w:lang w:eastAsia="en-GB"/>
        </w:rPr>
      </w:pPr>
      <w:r w:rsidRPr="00B46382">
        <w:rPr>
          <w:rFonts w:eastAsia="Times New Roman" w:cs="Arial"/>
          <w:szCs w:val="24"/>
          <w:lang w:eastAsia="en-GB"/>
        </w:rPr>
        <w:t xml:space="preserve">We have taken a Theory of Change approach with our Intervention Strategies ensuring a clear rationale and evidence base for our planned activities that have defined outcomes. Over time we aim to continue to review and develop our Theory of Change through continual appreciation of widening participation literature. We also recognise the importance of our investment in developing and establishing our skills through external training e.g. TASO, to further support our activity and evaluation design.  </w:t>
      </w:r>
    </w:p>
    <w:p w14:paraId="3F724A48" w14:textId="77777777" w:rsidR="00632212" w:rsidRPr="00B46382" w:rsidRDefault="00632212" w:rsidP="00632212">
      <w:pPr>
        <w:spacing w:after="0" w:line="240" w:lineRule="auto"/>
        <w:textAlignment w:val="baseline"/>
        <w:rPr>
          <w:rFonts w:eastAsia="Times New Roman" w:cs="Arial"/>
          <w:szCs w:val="24"/>
          <w:lang w:eastAsia="en-GB"/>
        </w:rPr>
      </w:pPr>
    </w:p>
    <w:p w14:paraId="1E9876DD" w14:textId="77777777" w:rsidR="00632212" w:rsidRPr="00B46382" w:rsidRDefault="00632212" w:rsidP="00632212">
      <w:pPr>
        <w:spacing w:after="0" w:line="240" w:lineRule="auto"/>
        <w:textAlignment w:val="baseline"/>
        <w:rPr>
          <w:rStyle w:val="Hyperlink"/>
          <w:rFonts w:cs="Arial"/>
          <w:color w:val="000000" w:themeColor="text1"/>
          <w:szCs w:val="24"/>
          <w:u w:val="none"/>
        </w:rPr>
      </w:pPr>
      <w:r w:rsidRPr="00B46382">
        <w:rPr>
          <w:rStyle w:val="Hyperlink"/>
          <w:rFonts w:cs="Arial"/>
          <w:color w:val="000000" w:themeColor="text1"/>
          <w:szCs w:val="24"/>
          <w:u w:val="none"/>
        </w:rPr>
        <w:t>As discussed in Section 4, we are employing a mixed methods evaluation design using quantitative and qualitative data. We feel this will provide a more holistic approach than solely relying on one method, and will support triangulation of findings. Also, to limit survey fatigue that is known to lead to low response rates, less reliable responses and bias (Porter, 2005), we intend to use more creative qualitative evaluation methods introduced to us by our GHWY partners at recent Theory of Change workshops.</w:t>
      </w:r>
    </w:p>
    <w:p w14:paraId="5A14B36E" w14:textId="216637DF" w:rsidR="00632212" w:rsidRPr="00B46382" w:rsidRDefault="00632212" w:rsidP="00632212">
      <w:pPr>
        <w:spacing w:after="0" w:line="240" w:lineRule="auto"/>
        <w:textAlignment w:val="baseline"/>
        <w:rPr>
          <w:rFonts w:cs="Arial"/>
          <w:szCs w:val="24"/>
        </w:rPr>
      </w:pPr>
      <w:r w:rsidRPr="00B46382">
        <w:rPr>
          <w:rStyle w:val="Hyperlink"/>
          <w:rFonts w:cs="Arial"/>
          <w:color w:val="000000" w:themeColor="text1"/>
          <w:szCs w:val="24"/>
          <w:u w:val="none"/>
        </w:rPr>
        <w:t xml:space="preserve">Our small numbers do not lend well presently to Type 3 randomised controlled trials, yet we anticipate this method may be considered in future years with </w:t>
      </w:r>
      <w:r w:rsidR="00D33E74" w:rsidRPr="00B46382">
        <w:rPr>
          <w:rStyle w:val="Hyperlink"/>
          <w:rFonts w:cs="Arial"/>
          <w:color w:val="000000" w:themeColor="text1"/>
          <w:szCs w:val="24"/>
          <w:u w:val="none"/>
        </w:rPr>
        <w:t>expected</w:t>
      </w:r>
      <w:r w:rsidRPr="00B46382">
        <w:rPr>
          <w:rStyle w:val="Hyperlink"/>
          <w:rFonts w:cs="Arial"/>
          <w:color w:val="000000" w:themeColor="text1"/>
          <w:szCs w:val="24"/>
          <w:u w:val="none"/>
        </w:rPr>
        <w:t xml:space="preserve"> growth of our HE programmes. We also plan to gain insight from TASO’s guidance on impact evaluation with small numbers (T</w:t>
      </w:r>
      <w:r w:rsidR="00207AC3" w:rsidRPr="00B46382">
        <w:rPr>
          <w:rStyle w:val="Hyperlink"/>
          <w:rFonts w:cs="Arial"/>
          <w:color w:val="000000" w:themeColor="text1"/>
          <w:szCs w:val="24"/>
          <w:u w:val="none"/>
        </w:rPr>
        <w:t>AS</w:t>
      </w:r>
      <w:r w:rsidRPr="00B46382">
        <w:rPr>
          <w:rStyle w:val="Hyperlink"/>
          <w:rFonts w:cs="Arial"/>
          <w:color w:val="000000" w:themeColor="text1"/>
          <w:szCs w:val="24"/>
          <w:u w:val="none"/>
        </w:rPr>
        <w:t xml:space="preserve">O, </w:t>
      </w:r>
      <w:proofErr w:type="spellStart"/>
      <w:r w:rsidRPr="00B46382">
        <w:rPr>
          <w:rStyle w:val="Hyperlink"/>
          <w:rFonts w:cs="Arial"/>
          <w:color w:val="000000" w:themeColor="text1"/>
          <w:szCs w:val="24"/>
          <w:u w:val="none"/>
        </w:rPr>
        <w:t>n.d</w:t>
      </w:r>
      <w:proofErr w:type="spellEnd"/>
      <w:r w:rsidRPr="00B46382">
        <w:rPr>
          <w:rStyle w:val="Hyperlink"/>
          <w:rFonts w:cs="Arial"/>
          <w:color w:val="000000" w:themeColor="text1"/>
          <w:szCs w:val="24"/>
          <w:u w:val="none"/>
        </w:rPr>
        <w:t xml:space="preserve">). Where our intervention activities are not confined to KC, we will rely on our external partners and their work in schools and communities i.e. GHWY to report activity impact. </w:t>
      </w:r>
    </w:p>
    <w:p w14:paraId="6734772C" w14:textId="77777777" w:rsidR="00632212" w:rsidRPr="00B46382" w:rsidRDefault="00632212" w:rsidP="00632212">
      <w:pPr>
        <w:spacing w:after="0" w:line="240" w:lineRule="auto"/>
        <w:textAlignment w:val="baseline"/>
        <w:rPr>
          <w:rFonts w:cs="Arial"/>
          <w:szCs w:val="24"/>
        </w:rPr>
      </w:pPr>
    </w:p>
    <w:p w14:paraId="62CCC89F" w14:textId="7BDD47DE" w:rsidR="00632212" w:rsidRPr="00B46382" w:rsidRDefault="0055724C" w:rsidP="0055724C">
      <w:pPr>
        <w:pStyle w:val="Heading3"/>
      </w:pPr>
      <w:r>
        <w:t xml:space="preserve">7.3 </w:t>
      </w:r>
      <w:r w:rsidR="00632212" w:rsidRPr="00B46382">
        <w:t xml:space="preserve">Implementation </w:t>
      </w:r>
    </w:p>
    <w:p w14:paraId="65395C58" w14:textId="77777777" w:rsidR="00632212" w:rsidRPr="00B46382" w:rsidRDefault="00632212" w:rsidP="00632212">
      <w:pPr>
        <w:spacing w:after="0" w:line="240" w:lineRule="auto"/>
        <w:textAlignment w:val="baseline"/>
        <w:rPr>
          <w:rFonts w:cs="Arial"/>
          <w:szCs w:val="24"/>
        </w:rPr>
      </w:pPr>
    </w:p>
    <w:p w14:paraId="64987AFA" w14:textId="77777777" w:rsidR="00632212" w:rsidRPr="00B46382" w:rsidRDefault="00632212" w:rsidP="00632212">
      <w:pPr>
        <w:spacing w:after="0" w:line="240" w:lineRule="auto"/>
        <w:textAlignment w:val="baseline"/>
        <w:rPr>
          <w:rFonts w:cs="Arial"/>
          <w:szCs w:val="24"/>
        </w:rPr>
      </w:pPr>
      <w:r w:rsidRPr="00B46382">
        <w:rPr>
          <w:rFonts w:cs="Arial"/>
          <w:szCs w:val="24"/>
        </w:rPr>
        <w:t xml:space="preserve">The implementation of our plan will rely on a whole provider approach, with key stakeholders convening periodically as part of our working group to manage the timeline of events. Critical discussions will be held to determine which activities are ‘working’ and which are not and to ensure all staff understand their roles and are equipped with the appropriate skills and feel supported. Appropriate processes will be in place to ensure effective data collation and subsequent interpretation and analysis. All evaluation methods will consider ethical principles (UK Evaluation Society, 2013) and comply with GDPR regulations (Information Commissioners Office, </w:t>
      </w:r>
      <w:proofErr w:type="spellStart"/>
      <w:r w:rsidRPr="00B46382">
        <w:rPr>
          <w:rFonts w:cs="Arial"/>
          <w:szCs w:val="24"/>
        </w:rPr>
        <w:t>n.d</w:t>
      </w:r>
      <w:proofErr w:type="spellEnd"/>
      <w:r w:rsidRPr="00B46382">
        <w:rPr>
          <w:rFonts w:cs="Arial"/>
          <w:szCs w:val="24"/>
        </w:rPr>
        <w:t>).</w:t>
      </w:r>
    </w:p>
    <w:p w14:paraId="48B2AEF3" w14:textId="77777777" w:rsidR="00632212" w:rsidRPr="00B46382" w:rsidRDefault="00632212" w:rsidP="00632212">
      <w:pPr>
        <w:spacing w:after="0" w:line="240" w:lineRule="auto"/>
        <w:textAlignment w:val="baseline"/>
        <w:rPr>
          <w:rFonts w:cs="Arial"/>
          <w:szCs w:val="24"/>
        </w:rPr>
      </w:pPr>
    </w:p>
    <w:p w14:paraId="09EE69DC" w14:textId="77777777" w:rsidR="00632212" w:rsidRPr="00B46382" w:rsidRDefault="00632212" w:rsidP="00632212">
      <w:pPr>
        <w:spacing w:after="0" w:line="240" w:lineRule="auto"/>
        <w:textAlignment w:val="baseline"/>
        <w:rPr>
          <w:rFonts w:cs="Arial"/>
          <w:szCs w:val="24"/>
        </w:rPr>
      </w:pPr>
    </w:p>
    <w:p w14:paraId="6AECD227" w14:textId="7B8E9A24" w:rsidR="00632212" w:rsidRPr="0055724C" w:rsidRDefault="0055724C" w:rsidP="0055724C">
      <w:pPr>
        <w:pStyle w:val="Heading3"/>
      </w:pPr>
      <w:r>
        <w:t xml:space="preserve">7.4 </w:t>
      </w:r>
      <w:r w:rsidR="00632212" w:rsidRPr="00B46382">
        <w:t>Learning from and Dissemination of Findings</w:t>
      </w:r>
    </w:p>
    <w:p w14:paraId="1A471230" w14:textId="77777777" w:rsidR="00632212" w:rsidRPr="00B46382" w:rsidRDefault="00632212" w:rsidP="00632212">
      <w:pPr>
        <w:pStyle w:val="NormalWeb"/>
        <w:spacing w:before="0" w:beforeAutospacing="0" w:after="300" w:afterAutospacing="0"/>
        <w:rPr>
          <w:rFonts w:ascii="Arial" w:hAnsi="Arial" w:cs="Arial"/>
        </w:rPr>
      </w:pPr>
      <w:r w:rsidRPr="00B46382">
        <w:rPr>
          <w:rFonts w:ascii="Arial" w:hAnsi="Arial" w:cs="Arial"/>
          <w:color w:val="000000" w:themeColor="text1"/>
        </w:rPr>
        <w:t xml:space="preserve">We are fully committed to </w:t>
      </w:r>
      <w:r w:rsidRPr="00B46382">
        <w:rPr>
          <w:rFonts w:ascii="Arial" w:hAnsi="Arial" w:cs="Arial"/>
        </w:rPr>
        <w:t xml:space="preserve">contributing to the development of sector-wide knowledge through reporting of our evaluation via the </w:t>
      </w:r>
      <w:proofErr w:type="spellStart"/>
      <w:r w:rsidRPr="00B46382">
        <w:rPr>
          <w:rFonts w:ascii="Arial" w:hAnsi="Arial" w:cs="Arial"/>
        </w:rPr>
        <w:t>OfS</w:t>
      </w:r>
      <w:proofErr w:type="spellEnd"/>
      <w:r w:rsidRPr="00B46382">
        <w:rPr>
          <w:rFonts w:ascii="Arial" w:hAnsi="Arial" w:cs="Arial"/>
          <w:color w:val="000000" w:themeColor="text1"/>
        </w:rPr>
        <w:t>.</w:t>
      </w:r>
      <w:r w:rsidRPr="00B46382">
        <w:rPr>
          <w:rFonts w:ascii="Arial" w:hAnsi="Arial" w:cs="Arial"/>
        </w:rPr>
        <w:t xml:space="preserve"> We will share our findings at regular intervals at HE Committee and Senior Executive Leadership team meetings, and Wider Leadership teams, as well as with Governing Body and our GHWY collaborative partners at Access and Participation Strategy Group (APSG) meetings</w:t>
      </w:r>
      <w:r w:rsidRPr="00B46382">
        <w:rPr>
          <w:rFonts w:ascii="Arial" w:hAnsi="Arial" w:cs="Arial"/>
          <w:color w:val="000000" w:themeColor="text1"/>
        </w:rPr>
        <w:t>. These meetings will provide key forums to consider evaluation and impact and next steps</w:t>
      </w:r>
      <w:r w:rsidRPr="00B46382">
        <w:rPr>
          <w:rFonts w:ascii="Arial" w:hAnsi="Arial" w:cs="Arial"/>
        </w:rPr>
        <w:t>. We will publish our findings on our website.</w:t>
      </w:r>
    </w:p>
    <w:p w14:paraId="33918432" w14:textId="77777777" w:rsidR="00632212" w:rsidRPr="00B46382" w:rsidRDefault="00632212" w:rsidP="00632212">
      <w:pPr>
        <w:pStyle w:val="NormalWeb"/>
        <w:spacing w:before="0" w:beforeAutospacing="0" w:after="300" w:afterAutospacing="0"/>
        <w:rPr>
          <w:rFonts w:ascii="Arial" w:hAnsi="Arial" w:cs="Arial"/>
        </w:rPr>
      </w:pPr>
      <w:r w:rsidRPr="00B46382">
        <w:rPr>
          <w:rFonts w:ascii="Arial" w:hAnsi="Arial" w:cs="Arial"/>
        </w:rPr>
        <w:t xml:space="preserve">Regular communication across college of the outcomes of our APP activity and against our targets will provide a means to promote the importance of our access and participation activity beyond those that are directly involved. This platform will also allow for up-to date widening participation/URG research i.e. </w:t>
      </w:r>
      <w:proofErr w:type="spellStart"/>
      <w:r w:rsidRPr="00B46382">
        <w:rPr>
          <w:rFonts w:ascii="Arial" w:hAnsi="Arial" w:cs="Arial"/>
        </w:rPr>
        <w:t>OfS</w:t>
      </w:r>
      <w:proofErr w:type="spellEnd"/>
      <w:r w:rsidRPr="00B46382">
        <w:rPr>
          <w:rFonts w:ascii="Arial" w:hAnsi="Arial" w:cs="Arial"/>
        </w:rPr>
        <w:t>/TASO headlines, to be shared and will further promote our whole provider approach. We also expect our communications to align and integrate with work of our EDI committee. We will also disseminate findings through the student’s union and representatives.</w:t>
      </w:r>
    </w:p>
    <w:p w14:paraId="5E60A00A" w14:textId="5FA24EA9" w:rsidR="004E59AB" w:rsidRPr="00B46382" w:rsidRDefault="00632212" w:rsidP="00364B59">
      <w:pPr>
        <w:pStyle w:val="NormalWeb"/>
        <w:spacing w:before="0" w:beforeAutospacing="0" w:after="300" w:afterAutospacing="0"/>
        <w:rPr>
          <w:rFonts w:ascii="Arial" w:hAnsi="Arial" w:cs="Arial"/>
        </w:rPr>
      </w:pPr>
      <w:r w:rsidRPr="00B46382">
        <w:rPr>
          <w:rFonts w:ascii="Arial" w:hAnsi="Arial" w:cs="Arial"/>
        </w:rPr>
        <w:t>We will also engage with TASO and other relevant organisations in calls for evidence, learning at conferences and events and training opportunities. Through such opportunities we aim to strengthen our skills base in evaluation and promote our culture of evaluation.</w:t>
      </w:r>
    </w:p>
    <w:p w14:paraId="6543122E" w14:textId="77777777" w:rsidR="00364B59" w:rsidRPr="00B46382" w:rsidRDefault="00364B59" w:rsidP="0055724C">
      <w:pPr>
        <w:pStyle w:val="Heading2"/>
        <w:rPr>
          <w:color w:val="FF0000"/>
        </w:rPr>
      </w:pPr>
      <w:r w:rsidRPr="00B46382">
        <w:t>8. Provision of information to students</w:t>
      </w:r>
    </w:p>
    <w:p w14:paraId="591D65D9" w14:textId="77777777" w:rsidR="00364B59" w:rsidRPr="00B46382" w:rsidRDefault="00364B59" w:rsidP="00364B59">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t>KC works hard to ensure all students, current and prospective, have access to clear, transparent, and up-to-date information, advice, and guidance about the cost of their HE experience and the financial support (e.g. bursaries) available to them. Information will be provided in various formats to reach students from diverse backgrounds, ensuring as many students as possible have the opportunity to consider higher-level study with us.</w:t>
      </w:r>
    </w:p>
    <w:p w14:paraId="57D90854" w14:textId="77777777" w:rsidR="00364B59" w:rsidRPr="00B46382" w:rsidRDefault="00364B59" w:rsidP="00364B59">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t>The KC website is the main source of information for prospective applicants, including course details, entry requirements, tuition fees, and financial support. These will also be available in the printed Higher Education and Higher Skills prospectus and at open events throughout the year.</w:t>
      </w:r>
    </w:p>
    <w:p w14:paraId="3C2157D5" w14:textId="77777777" w:rsidR="00364B59" w:rsidRPr="00B46382" w:rsidRDefault="00364B59" w:rsidP="00364B59">
      <w:pPr>
        <w:rPr>
          <w:rFonts w:cs="Arial"/>
          <w:color w:val="000000"/>
          <w:szCs w:val="24"/>
          <w:shd w:val="clear" w:color="auto" w:fill="FFFFFF"/>
        </w:rPr>
      </w:pPr>
      <w:r w:rsidRPr="00B46382">
        <w:rPr>
          <w:rFonts w:cs="Arial"/>
          <w:color w:val="000000"/>
          <w:szCs w:val="24"/>
          <w:shd w:val="clear" w:color="auto" w:fill="FFFFFF"/>
        </w:rPr>
        <w:t>Kirklees College offers a number of funds so all students, but specifically those from our target groups, can fully engage with their studies.</w:t>
      </w:r>
    </w:p>
    <w:p w14:paraId="3ADA459F" w14:textId="2547C228" w:rsidR="0055724C" w:rsidRDefault="0055724C" w:rsidP="0055724C">
      <w:pPr>
        <w:pStyle w:val="Heading3"/>
        <w:rPr>
          <w:b w:val="0"/>
          <w:shd w:val="clear" w:color="auto" w:fill="FFFFFF"/>
        </w:rPr>
      </w:pPr>
      <w:r>
        <w:rPr>
          <w:b w:val="0"/>
          <w:shd w:val="clear" w:color="auto" w:fill="FFFFFF"/>
        </w:rPr>
        <w:t xml:space="preserve">8.1 </w:t>
      </w:r>
      <w:r w:rsidR="00364B59" w:rsidRPr="00B46382">
        <w:rPr>
          <w:b w:val="0"/>
          <w:shd w:val="clear" w:color="auto" w:fill="FFFFFF"/>
        </w:rPr>
        <w:t>Progression Bursaries</w:t>
      </w:r>
    </w:p>
    <w:p w14:paraId="66334DA2" w14:textId="515EBF35" w:rsidR="00364B59" w:rsidRPr="00B46382" w:rsidRDefault="00364B59" w:rsidP="00364B59">
      <w:pPr>
        <w:rPr>
          <w:rFonts w:cs="Arial"/>
          <w:color w:val="000000" w:themeColor="text1"/>
          <w:szCs w:val="24"/>
          <w:shd w:val="clear" w:color="auto" w:fill="FFFFFF"/>
        </w:rPr>
      </w:pPr>
      <w:r w:rsidRPr="00B46382">
        <w:rPr>
          <w:rFonts w:cs="Arial"/>
          <w:color w:val="000000"/>
          <w:szCs w:val="24"/>
          <w:shd w:val="clear" w:color="auto" w:fill="FFFFFF"/>
        </w:rPr>
        <w:t xml:space="preserve">The college will continue to award Progression Bursaries to students progressing within the college from a Level 3 programme on to a full-time Higher Education programme. A phased cash payment of £500 is made in the first year of study only. Students must have successfully completed a Level 3 programme at college that is appropriate to allow progression to a full-time Higher Education programme. This </w:t>
      </w:r>
      <w:r w:rsidRPr="00B46382">
        <w:rPr>
          <w:rFonts w:cs="Arial"/>
          <w:color w:val="000000"/>
          <w:szCs w:val="24"/>
          <w:shd w:val="clear" w:color="auto" w:fill="FFFFFF"/>
        </w:rPr>
        <w:lastRenderedPageBreak/>
        <w:t xml:space="preserve">award will be available to Kirklees College home students in receipt of the full HE maintenance loan or </w:t>
      </w:r>
      <w:r w:rsidRPr="00B46382">
        <w:rPr>
          <w:rFonts w:cs="Arial"/>
          <w:color w:val="000000" w:themeColor="text1"/>
          <w:szCs w:val="24"/>
          <w:shd w:val="clear" w:color="auto" w:fill="FFFFFF"/>
        </w:rPr>
        <w:t xml:space="preserve">student support grant. </w:t>
      </w:r>
    </w:p>
    <w:p w14:paraId="59363616" w14:textId="77777777" w:rsidR="00364B59" w:rsidRPr="00B46382" w:rsidRDefault="00364B59" w:rsidP="00364B59">
      <w:pPr>
        <w:rPr>
          <w:rFonts w:cs="Arial"/>
          <w:color w:val="000000" w:themeColor="text1"/>
          <w:szCs w:val="24"/>
          <w:shd w:val="clear" w:color="auto" w:fill="FFFFFF"/>
        </w:rPr>
      </w:pPr>
      <w:r w:rsidRPr="00B46382">
        <w:rPr>
          <w:rFonts w:cs="Arial"/>
          <w:color w:val="000000" w:themeColor="text1"/>
          <w:szCs w:val="24"/>
          <w:shd w:val="clear" w:color="auto" w:fill="FFFFFF"/>
        </w:rPr>
        <w:t xml:space="preserve">Many of our students progressing from one of our level 3 programmes to a HE </w:t>
      </w:r>
      <w:proofErr w:type="gramStart"/>
      <w:r w:rsidRPr="00B46382">
        <w:rPr>
          <w:rFonts w:cs="Arial"/>
          <w:color w:val="000000" w:themeColor="text1"/>
          <w:szCs w:val="24"/>
          <w:shd w:val="clear" w:color="auto" w:fill="FFFFFF"/>
        </w:rPr>
        <w:t>course</w:t>
      </w:r>
      <w:proofErr w:type="gramEnd"/>
      <w:r w:rsidRPr="00B46382">
        <w:rPr>
          <w:rFonts w:cs="Arial"/>
          <w:color w:val="000000" w:themeColor="text1"/>
          <w:szCs w:val="24"/>
          <w:shd w:val="clear" w:color="auto" w:fill="FFFFFF"/>
        </w:rPr>
        <w:t xml:space="preserve"> of study, fall into the ‘young’ demographic (&lt;21 years) and therefore this bursary is supportive of students within this target group.</w:t>
      </w:r>
    </w:p>
    <w:p w14:paraId="0FC5DBF6" w14:textId="77777777" w:rsidR="00364B59" w:rsidRPr="00B46382" w:rsidRDefault="00364B59" w:rsidP="00364B59">
      <w:pPr>
        <w:rPr>
          <w:rFonts w:cs="Arial"/>
          <w:color w:val="000000" w:themeColor="text1"/>
          <w:szCs w:val="24"/>
          <w:shd w:val="clear" w:color="auto" w:fill="FFFFFF"/>
        </w:rPr>
      </w:pPr>
      <w:r w:rsidRPr="00B46382">
        <w:rPr>
          <w:rFonts w:cs="Arial"/>
          <w:color w:val="000000" w:themeColor="text1"/>
          <w:szCs w:val="24"/>
          <w:shd w:val="clear" w:color="auto" w:fill="FFFFFF"/>
        </w:rPr>
        <w:t>The Progression Bursary, and all other bursaries that require students to be in receipt of the full HE maintenance loan or student support grant (</w:t>
      </w:r>
      <w:hyperlink r:id="rId20" w:history="1">
        <w:r w:rsidRPr="00B46382">
          <w:rPr>
            <w:rStyle w:val="Hyperlink"/>
            <w:rFonts w:cs="Arial"/>
            <w:color w:val="000000" w:themeColor="text1"/>
            <w:szCs w:val="24"/>
          </w:rPr>
          <w:t>Student Finance Maintenance Loans 2024 - Save the Student</w:t>
        </w:r>
      </w:hyperlink>
      <w:r w:rsidRPr="00B46382">
        <w:rPr>
          <w:rFonts w:cs="Arial"/>
          <w:color w:val="000000" w:themeColor="text1"/>
          <w:szCs w:val="24"/>
        </w:rPr>
        <w:t>)</w:t>
      </w:r>
      <w:r w:rsidRPr="00B46382">
        <w:rPr>
          <w:rFonts w:cs="Arial"/>
          <w:color w:val="000000" w:themeColor="text1"/>
          <w:szCs w:val="24"/>
          <w:shd w:val="clear" w:color="auto" w:fill="FFFFFF"/>
        </w:rPr>
        <w:t>, are supportive of students from our target group (low SES/IMD 1-2). This is due to one of the key eligibility criteria for the HE maintenance loan being household income, and our understanding of</w:t>
      </w:r>
      <w:r w:rsidRPr="00B46382">
        <w:rPr>
          <w:rFonts w:cs="Arial"/>
          <w:color w:val="000000" w:themeColor="text1"/>
          <w:szCs w:val="24"/>
        </w:rPr>
        <w:t xml:space="preserve"> statistical evidence of how low-income households disproportionately reside in areas ranked in IMD 1-2, thus facing multiple challenges linked to health, education, and housing (Office for Students, 2021).</w:t>
      </w:r>
    </w:p>
    <w:p w14:paraId="34942A69" w14:textId="77777777" w:rsidR="00364B59" w:rsidRPr="00B46382" w:rsidRDefault="00364B59" w:rsidP="00364B59">
      <w:pPr>
        <w:rPr>
          <w:rFonts w:cs="Arial"/>
          <w:color w:val="000000" w:themeColor="text1"/>
          <w:szCs w:val="24"/>
          <w:shd w:val="clear" w:color="auto" w:fill="FFFFFF"/>
        </w:rPr>
      </w:pPr>
      <w:r w:rsidRPr="00B46382">
        <w:rPr>
          <w:rFonts w:cs="Arial"/>
          <w:b/>
          <w:bCs/>
          <w:color w:val="000000" w:themeColor="text1"/>
          <w:szCs w:val="24"/>
          <w:shd w:val="clear" w:color="auto" w:fill="FFFFFF"/>
        </w:rPr>
        <w:t>Local Student Bursaries.</w:t>
      </w:r>
      <w:r w:rsidRPr="00B46382">
        <w:rPr>
          <w:rFonts w:cs="Arial"/>
          <w:color w:val="000000" w:themeColor="text1"/>
          <w:szCs w:val="24"/>
          <w:shd w:val="clear" w:color="auto" w:fill="FFFFFF"/>
        </w:rPr>
        <w:t xml:space="preserve"> This bursary will target local students accepted on to a Higher Education programme at the College with a permanent home address in the local area (all West Yorkshire postcodes). A phased cash payment of £500 is made in the first year of study only. This award will be available to home students in receipt of the full HE maintenance loan or student support grant.</w:t>
      </w:r>
    </w:p>
    <w:p w14:paraId="332BC0E8" w14:textId="77777777" w:rsidR="00364B59" w:rsidRPr="00B46382" w:rsidRDefault="00364B59" w:rsidP="00364B59">
      <w:pPr>
        <w:rPr>
          <w:rFonts w:cs="Arial"/>
          <w:color w:val="000000" w:themeColor="text1"/>
          <w:szCs w:val="24"/>
          <w:shd w:val="clear" w:color="auto" w:fill="FFFFFF"/>
        </w:rPr>
      </w:pPr>
      <w:r w:rsidRPr="00B46382">
        <w:rPr>
          <w:rStyle w:val="normaltextrun"/>
          <w:rFonts w:eastAsiaTheme="majorEastAsia" w:cs="Arial"/>
          <w:color w:val="000000" w:themeColor="text1"/>
          <w:szCs w:val="24"/>
          <w:lang w:val="en-US"/>
        </w:rPr>
        <w:t>As discussed in our Introduction section, Kirklees district has areas of significant deprivation. Around 64.5% of the college’s 16-18 students and 67.5% of our 19+ students are in the three bands of highest deprivation (IMD).</w:t>
      </w:r>
      <w:r w:rsidRPr="00B46382">
        <w:rPr>
          <w:rFonts w:cs="Arial"/>
          <w:color w:val="000000" w:themeColor="text1"/>
          <w:szCs w:val="24"/>
          <w:shd w:val="clear" w:color="auto" w:fill="FFFFFF"/>
        </w:rPr>
        <w:t xml:space="preserve"> The local student bursary will also support any students of low SES in the wider West Yorkshire region.</w:t>
      </w:r>
    </w:p>
    <w:p w14:paraId="586FDE09" w14:textId="313F92DF" w:rsidR="0055724C" w:rsidRDefault="0055724C" w:rsidP="0055724C">
      <w:pPr>
        <w:pStyle w:val="Heading3"/>
        <w:rPr>
          <w:shd w:val="clear" w:color="auto" w:fill="FFFFFF"/>
        </w:rPr>
      </w:pPr>
      <w:r>
        <w:rPr>
          <w:b w:val="0"/>
          <w:shd w:val="clear" w:color="auto" w:fill="FFFFFF"/>
        </w:rPr>
        <w:t xml:space="preserve">8.2 </w:t>
      </w:r>
      <w:r w:rsidR="00364B59" w:rsidRPr="00B46382">
        <w:rPr>
          <w:b w:val="0"/>
          <w:shd w:val="clear" w:color="auto" w:fill="FFFFFF"/>
        </w:rPr>
        <w:t>STEM Bursaries</w:t>
      </w:r>
    </w:p>
    <w:p w14:paraId="3094580D" w14:textId="7749773A" w:rsidR="00364B59" w:rsidRPr="00B46382" w:rsidRDefault="00364B59" w:rsidP="00364B59">
      <w:pPr>
        <w:rPr>
          <w:rFonts w:cs="Arial"/>
          <w:color w:val="000000" w:themeColor="text1"/>
          <w:szCs w:val="24"/>
          <w:shd w:val="clear" w:color="auto" w:fill="FFFFFF"/>
        </w:rPr>
      </w:pPr>
      <w:r w:rsidRPr="00B46382">
        <w:rPr>
          <w:rFonts w:cs="Arial"/>
          <w:color w:val="000000" w:themeColor="text1"/>
          <w:szCs w:val="24"/>
          <w:shd w:val="clear" w:color="auto" w:fill="FFFFFF"/>
        </w:rPr>
        <w:t>This bursary will be available to any home student on Engineering or Process Manufacturing programmes only. A phased cash payment of £500 will be made during each year of study (excluding any repeat year). This award will be available to home students in receipt of the full HE maintenance loan or student support grant. Students receiving this bursary are not eligible for any other bursary outlined in this Access Agreement.</w:t>
      </w:r>
    </w:p>
    <w:p w14:paraId="45E07334" w14:textId="03A0427F" w:rsidR="0055724C" w:rsidRDefault="0055724C" w:rsidP="0055724C">
      <w:pPr>
        <w:pStyle w:val="Heading3"/>
        <w:rPr>
          <w:b w:val="0"/>
          <w:shd w:val="clear" w:color="auto" w:fill="FFFFFF"/>
        </w:rPr>
      </w:pPr>
      <w:r>
        <w:rPr>
          <w:shd w:val="clear" w:color="auto" w:fill="FFFFFF"/>
        </w:rPr>
        <w:t xml:space="preserve">8.3 </w:t>
      </w:r>
      <w:r w:rsidR="00364B59" w:rsidRPr="00B46382">
        <w:rPr>
          <w:b w:val="0"/>
          <w:shd w:val="clear" w:color="auto" w:fill="FFFFFF"/>
        </w:rPr>
        <w:t>Widening Access Bursaries</w:t>
      </w:r>
    </w:p>
    <w:p w14:paraId="0E9A8B36" w14:textId="34FEA7E1" w:rsidR="0055724C" w:rsidRDefault="00364B59" w:rsidP="00364B59">
      <w:pPr>
        <w:rPr>
          <w:rStyle w:val="Strong"/>
          <w:rFonts w:cs="Arial"/>
          <w:color w:val="000000" w:themeColor="text1"/>
          <w:szCs w:val="24"/>
          <w:bdr w:val="none" w:sz="0" w:space="0" w:color="auto" w:frame="1"/>
          <w:shd w:val="clear" w:color="auto" w:fill="FFFFFF"/>
        </w:rPr>
      </w:pPr>
      <w:r w:rsidRPr="00B46382">
        <w:rPr>
          <w:rFonts w:cs="Arial"/>
          <w:color w:val="000000" w:themeColor="text1"/>
          <w:szCs w:val="24"/>
          <w:shd w:val="clear" w:color="auto" w:fill="FFFFFF"/>
        </w:rPr>
        <w:t>These bursaries are available to the following student groups:</w:t>
      </w:r>
      <w:r w:rsidRPr="00B46382">
        <w:rPr>
          <w:rFonts w:cs="Arial"/>
          <w:color w:val="000000" w:themeColor="text1"/>
          <w:szCs w:val="24"/>
        </w:rPr>
        <w:br/>
      </w:r>
      <w:r w:rsidRPr="00B46382">
        <w:rPr>
          <w:rFonts w:cs="Arial"/>
          <w:color w:val="000000" w:themeColor="text1"/>
          <w:szCs w:val="24"/>
        </w:rPr>
        <w:br/>
      </w:r>
      <w:r w:rsidR="0055724C">
        <w:rPr>
          <w:rStyle w:val="Heading3Char"/>
        </w:rPr>
        <w:t xml:space="preserve">8.4 </w:t>
      </w:r>
      <w:r w:rsidRPr="0055724C">
        <w:rPr>
          <w:rStyle w:val="Heading3Char"/>
        </w:rPr>
        <w:t>Care Leaver Bursary</w:t>
      </w:r>
    </w:p>
    <w:p w14:paraId="10ABC66C" w14:textId="3703F4B4" w:rsidR="0055724C" w:rsidRDefault="00364B59" w:rsidP="00364B59">
      <w:pPr>
        <w:rPr>
          <w:rStyle w:val="Strong"/>
          <w:rFonts w:cs="Arial"/>
          <w:color w:val="000000"/>
          <w:szCs w:val="24"/>
          <w:bdr w:val="none" w:sz="0" w:space="0" w:color="auto" w:frame="1"/>
          <w:shd w:val="clear" w:color="auto" w:fill="FFFFFF"/>
        </w:rPr>
      </w:pPr>
      <w:r w:rsidRPr="00B46382">
        <w:rPr>
          <w:rFonts w:cs="Arial"/>
          <w:color w:val="000000" w:themeColor="text1"/>
          <w:szCs w:val="24"/>
          <w:shd w:val="clear" w:color="auto" w:fill="FFFFFF"/>
        </w:rPr>
        <w:t xml:space="preserve">This bursary will offer support to any home student during each year </w:t>
      </w:r>
      <w:r w:rsidRPr="00B46382">
        <w:rPr>
          <w:rFonts w:cs="Arial"/>
          <w:color w:val="000000"/>
          <w:szCs w:val="24"/>
          <w:shd w:val="clear" w:color="auto" w:fill="FFFFFF"/>
        </w:rPr>
        <w:t>of study (excluding any repeat year) and will be available to students who have left local authority care in the two years prior to enrolment on the first year of study, irrespective of postcode. A phased cash payment of £1000 is made during each year of study. Attendance must be 85% or above during the first the first three months on programme (other than mitigating circumstances).</w:t>
      </w:r>
      <w:r w:rsidRPr="00B46382">
        <w:rPr>
          <w:rFonts w:cs="Arial"/>
          <w:color w:val="000000"/>
          <w:szCs w:val="24"/>
        </w:rPr>
        <w:br/>
      </w:r>
      <w:r w:rsidRPr="00B46382">
        <w:rPr>
          <w:rFonts w:cs="Arial"/>
          <w:color w:val="000000"/>
          <w:szCs w:val="24"/>
        </w:rPr>
        <w:br/>
      </w:r>
      <w:r w:rsidR="0055724C">
        <w:rPr>
          <w:rStyle w:val="Heading3Char"/>
        </w:rPr>
        <w:t xml:space="preserve">8.5 </w:t>
      </w:r>
      <w:r w:rsidRPr="0055724C">
        <w:rPr>
          <w:rStyle w:val="Heading3Char"/>
        </w:rPr>
        <w:t>Full-time Carer Bursar</w:t>
      </w:r>
      <w:r w:rsidR="0055724C" w:rsidRPr="0055724C">
        <w:rPr>
          <w:rStyle w:val="Heading3Char"/>
        </w:rPr>
        <w:t>y</w:t>
      </w:r>
    </w:p>
    <w:p w14:paraId="7DAC7B89" w14:textId="6EB0CC57" w:rsidR="0055724C" w:rsidRDefault="00364B59" w:rsidP="00364B59">
      <w:pPr>
        <w:rPr>
          <w:rStyle w:val="Strong"/>
          <w:rFonts w:cs="Arial"/>
          <w:color w:val="000000"/>
          <w:szCs w:val="24"/>
          <w:bdr w:val="none" w:sz="0" w:space="0" w:color="auto" w:frame="1"/>
          <w:shd w:val="clear" w:color="auto" w:fill="FFFFFF"/>
        </w:rPr>
      </w:pPr>
      <w:r w:rsidRPr="00B46382">
        <w:rPr>
          <w:rFonts w:cs="Arial"/>
          <w:color w:val="000000"/>
          <w:szCs w:val="24"/>
          <w:shd w:val="clear" w:color="auto" w:fill="FFFFFF"/>
        </w:rPr>
        <w:lastRenderedPageBreak/>
        <w:t xml:space="preserve">This bursary will offer support to any home student during each year of study (excluding any repeat year) and will be available to applicants who have full-time </w:t>
      </w:r>
      <w:proofErr w:type="spellStart"/>
      <w:r w:rsidRPr="00B46382">
        <w:rPr>
          <w:rFonts w:cs="Arial"/>
          <w:color w:val="000000"/>
          <w:szCs w:val="24"/>
          <w:shd w:val="clear" w:color="auto" w:fill="FFFFFF"/>
        </w:rPr>
        <w:t>carer</w:t>
      </w:r>
      <w:proofErr w:type="spellEnd"/>
      <w:r w:rsidRPr="00B46382">
        <w:rPr>
          <w:rFonts w:cs="Arial"/>
          <w:color w:val="000000"/>
          <w:szCs w:val="24"/>
          <w:shd w:val="clear" w:color="auto" w:fill="FFFFFF"/>
        </w:rPr>
        <w:t xml:space="preserve"> responsibilities. A phased cash payment of £1000 is made during each year of study. This award will be available to home students in receipt of the full HE maintenance loan or student support grant.</w:t>
      </w:r>
      <w:r w:rsidRPr="00B46382">
        <w:rPr>
          <w:rFonts w:cs="Arial"/>
          <w:color w:val="000000"/>
          <w:szCs w:val="24"/>
        </w:rPr>
        <w:br/>
      </w:r>
      <w:r w:rsidRPr="00B46382">
        <w:rPr>
          <w:rFonts w:cs="Arial"/>
          <w:color w:val="000000"/>
          <w:szCs w:val="24"/>
        </w:rPr>
        <w:br/>
      </w:r>
      <w:r w:rsidR="0055724C">
        <w:rPr>
          <w:rStyle w:val="Heading3Char"/>
        </w:rPr>
        <w:t xml:space="preserve">8.6 </w:t>
      </w:r>
      <w:r w:rsidRPr="0055724C">
        <w:rPr>
          <w:rStyle w:val="Heading3Char"/>
        </w:rPr>
        <w:t>Access to HE Diploma Bursar</w:t>
      </w:r>
      <w:r w:rsidR="0055724C" w:rsidRPr="0055724C">
        <w:rPr>
          <w:rStyle w:val="Heading3Char"/>
        </w:rPr>
        <w:t>y</w:t>
      </w:r>
    </w:p>
    <w:p w14:paraId="4602C769" w14:textId="515D26F6" w:rsidR="00364B59" w:rsidRPr="00B46382" w:rsidRDefault="00364B59" w:rsidP="00364B59">
      <w:pPr>
        <w:rPr>
          <w:rFonts w:cs="Arial"/>
          <w:color w:val="000000" w:themeColor="text1"/>
          <w:szCs w:val="24"/>
          <w:shd w:val="clear" w:color="auto" w:fill="FFFFFF"/>
        </w:rPr>
      </w:pPr>
      <w:r w:rsidRPr="00B46382">
        <w:rPr>
          <w:rFonts w:cs="Arial"/>
          <w:color w:val="000000"/>
          <w:szCs w:val="24"/>
          <w:shd w:val="clear" w:color="auto" w:fill="FFFFFF"/>
        </w:rPr>
        <w:t>This bursary will offer support to students during their first year of study and will be available to students who have success fully completed an Access to HE Diploma programme. Students must have successfully completed an Access programme that is appropriate to allow progression to a Higher Education programme. A phased cash payment of £1000 is made during the first year of study only. This award will be available to home students in receipt of the full HE maintenance loan or student support grant.</w:t>
      </w:r>
    </w:p>
    <w:p w14:paraId="73A8D511" w14:textId="77777777" w:rsidR="00364B59" w:rsidRPr="00B46382" w:rsidRDefault="00364B59" w:rsidP="00364B59">
      <w:pPr>
        <w:rPr>
          <w:rFonts w:cs="Arial"/>
          <w:szCs w:val="24"/>
        </w:rPr>
      </w:pPr>
      <w:r w:rsidRPr="00B46382">
        <w:rPr>
          <w:rFonts w:cs="Arial"/>
          <w:color w:val="000000"/>
          <w:szCs w:val="24"/>
          <w:shd w:val="clear" w:color="auto" w:fill="FFFFFF"/>
        </w:rPr>
        <w:t xml:space="preserve">KC is committed to providing the highest standards of support to learners who have a disability or learning difficulty. </w:t>
      </w:r>
      <w:r w:rsidRPr="00B46382">
        <w:rPr>
          <w:rFonts w:cs="Arial"/>
          <w:color w:val="000000" w:themeColor="text1"/>
          <w:szCs w:val="24"/>
        </w:rPr>
        <w:t>As documented in our Intervention strategies, we also plan to provide support for students with their DSA applications</w:t>
      </w:r>
      <w:r w:rsidRPr="00B46382">
        <w:rPr>
          <w:rFonts w:cs="Arial"/>
          <w:szCs w:val="24"/>
        </w:rPr>
        <w:t xml:space="preserve"> and</w:t>
      </w:r>
      <w:r w:rsidRPr="00B46382">
        <w:rPr>
          <w:rFonts w:eastAsia="Times New Roman" w:cs="Arial"/>
          <w:szCs w:val="24"/>
          <w:lang w:eastAsia="en-GB"/>
        </w:rPr>
        <w:t xml:space="preserve"> monitoring of DSA funded interventions throughout the academic year</w:t>
      </w:r>
      <w:r w:rsidRPr="00B46382">
        <w:rPr>
          <w:rFonts w:cs="Arial"/>
          <w:szCs w:val="24"/>
        </w:rPr>
        <w:t>.</w:t>
      </w:r>
    </w:p>
    <w:p w14:paraId="2F02E9C8" w14:textId="77777777" w:rsidR="00364B59" w:rsidRPr="00B46382" w:rsidRDefault="00364B59" w:rsidP="00364B59">
      <w:pPr>
        <w:rPr>
          <w:rFonts w:cs="Arial"/>
          <w:color w:val="000000"/>
          <w:szCs w:val="24"/>
          <w:bdr w:val="none" w:sz="0" w:space="0" w:color="auto" w:frame="1"/>
          <w:shd w:val="clear" w:color="auto" w:fill="EEEEEE"/>
        </w:rPr>
      </w:pPr>
      <w:r w:rsidRPr="00B46382">
        <w:rPr>
          <w:rFonts w:cs="Arial"/>
          <w:szCs w:val="24"/>
        </w:rPr>
        <w:t>In addition, we provide a free breakfast each morning for all our students at the refectory in their centre of study, further supporting students identified by our target groups.</w:t>
      </w:r>
      <w:r w:rsidRPr="00B46382">
        <w:rPr>
          <w:rStyle w:val="normaltextrun"/>
          <w:rFonts w:cs="Arial"/>
          <w:color w:val="000000"/>
          <w:szCs w:val="24"/>
          <w:bdr w:val="none" w:sz="0" w:space="0" w:color="auto" w:frame="1"/>
          <w:shd w:val="clear" w:color="auto" w:fill="EEEEEE"/>
        </w:rPr>
        <w:t xml:space="preserve"> </w:t>
      </w:r>
    </w:p>
    <w:p w14:paraId="1DCF7A32" w14:textId="77777777" w:rsidR="00364B59" w:rsidRPr="00B46382" w:rsidRDefault="00364B59" w:rsidP="00364B59">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t xml:space="preserve">Financial support details are available on our website </w:t>
      </w:r>
      <w:hyperlink r:id="rId21" w:history="1">
        <w:r w:rsidRPr="00B46382">
          <w:rPr>
            <w:rStyle w:val="Hyperlink"/>
            <w:rFonts w:cs="Arial"/>
            <w:szCs w:val="24"/>
          </w:rPr>
          <w:t>Financial Support - Kirklees College</w:t>
        </w:r>
      </w:hyperlink>
      <w:r w:rsidRPr="00B46382">
        <w:rPr>
          <w:rFonts w:eastAsia="Times New Roman" w:cs="Arial"/>
          <w:szCs w:val="24"/>
          <w:lang w:eastAsia="en-GB"/>
        </w:rPr>
        <w:t>, via telephone, email, and financial support applications. Information about financial support will also be included in pre-enrolment materials sent to applicants (including support for DSA applications).</w:t>
      </w:r>
    </w:p>
    <w:p w14:paraId="3B8F9027" w14:textId="77777777" w:rsidR="00364B59" w:rsidRPr="00B46382" w:rsidRDefault="00364B59" w:rsidP="00364B59">
      <w:pPr>
        <w:spacing w:before="100" w:beforeAutospacing="1" w:after="100" w:afterAutospacing="1" w:line="240" w:lineRule="auto"/>
        <w:rPr>
          <w:rFonts w:eastAsia="Times New Roman" w:cs="Arial"/>
          <w:szCs w:val="24"/>
          <w:lang w:eastAsia="en-GB"/>
        </w:rPr>
      </w:pPr>
      <w:r w:rsidRPr="00B46382">
        <w:rPr>
          <w:rFonts w:eastAsia="Times New Roman" w:cs="Arial"/>
          <w:szCs w:val="24"/>
          <w:lang w:eastAsia="en-GB"/>
        </w:rPr>
        <w:t xml:space="preserve">As a small HE provider, we can build relationships with prospective students and offer </w:t>
      </w:r>
      <w:r w:rsidRPr="00B46382">
        <w:rPr>
          <w:rFonts w:eastAsia="Times New Roman" w:cs="Arial"/>
          <w:color w:val="000000" w:themeColor="text1"/>
          <w:szCs w:val="24"/>
          <w:lang w:eastAsia="en-GB"/>
        </w:rPr>
        <w:t xml:space="preserve">bespoke support </w:t>
      </w:r>
      <w:r w:rsidRPr="00B46382">
        <w:rPr>
          <w:rFonts w:eastAsia="Times New Roman" w:cs="Arial"/>
          <w:szCs w:val="24"/>
          <w:lang w:eastAsia="en-GB"/>
        </w:rPr>
        <w:t xml:space="preserve">where required. We will also place a copy of our Access and Participation Plan on our website, with a link to the </w:t>
      </w:r>
      <w:proofErr w:type="spellStart"/>
      <w:r w:rsidRPr="00B46382">
        <w:rPr>
          <w:rFonts w:eastAsia="Times New Roman" w:cs="Arial"/>
          <w:szCs w:val="24"/>
          <w:lang w:eastAsia="en-GB"/>
        </w:rPr>
        <w:t>OfS</w:t>
      </w:r>
      <w:proofErr w:type="spellEnd"/>
      <w:r w:rsidRPr="00B46382">
        <w:rPr>
          <w:rFonts w:eastAsia="Times New Roman" w:cs="Arial"/>
          <w:szCs w:val="24"/>
          <w:lang w:eastAsia="en-GB"/>
        </w:rPr>
        <w:t xml:space="preserve"> website when published. The full plan will be shared with the Student’s Union when approved, and our HE Quality Manager will deliver information sessions for current students. </w:t>
      </w:r>
    </w:p>
    <w:p w14:paraId="12563056" w14:textId="49EE8492" w:rsidR="00364B59" w:rsidRPr="00B46382" w:rsidRDefault="00364B59" w:rsidP="00E100D2">
      <w:pPr>
        <w:spacing w:after="120"/>
        <w:rPr>
          <w:rFonts w:eastAsia="Times New Roman" w:cs="Arial"/>
          <w:b/>
          <w:bCs/>
          <w:szCs w:val="24"/>
          <w:lang w:eastAsia="en-GB"/>
        </w:rPr>
        <w:sectPr w:rsidR="00364B59" w:rsidRPr="00B46382" w:rsidSect="004D2F9B">
          <w:pgSz w:w="11906" w:h="16838"/>
          <w:pgMar w:top="1440" w:right="1440" w:bottom="1440" w:left="1440" w:header="708" w:footer="708" w:gutter="0"/>
          <w:cols w:space="708"/>
          <w:docGrid w:linePitch="360"/>
        </w:sectPr>
      </w:pPr>
    </w:p>
    <w:p w14:paraId="048D76F2" w14:textId="5330EAA4" w:rsidR="00247DAC" w:rsidRPr="00B46382" w:rsidRDefault="0055724C" w:rsidP="0055724C">
      <w:pPr>
        <w:pStyle w:val="Heading2"/>
      </w:pPr>
      <w:r>
        <w:lastRenderedPageBreak/>
        <w:t xml:space="preserve">9. </w:t>
      </w:r>
      <w:r w:rsidR="00017579" w:rsidRPr="00B46382">
        <w:t>Annex A: Assessment of Perfor</w:t>
      </w:r>
      <w:r w:rsidR="006355F5" w:rsidRPr="00B46382">
        <w:t>mance</w:t>
      </w:r>
    </w:p>
    <w:p w14:paraId="199AF5B8" w14:textId="11287454" w:rsidR="00641443" w:rsidRPr="00B46382" w:rsidRDefault="00247DAC" w:rsidP="000D238E">
      <w:pPr>
        <w:pStyle w:val="NormalWeb"/>
        <w:spacing w:before="0" w:beforeAutospacing="0" w:after="300" w:afterAutospacing="0"/>
        <w:rPr>
          <w:rFonts w:ascii="Arial" w:hAnsi="Arial" w:cs="Arial"/>
          <w:color w:val="333333"/>
        </w:rPr>
      </w:pPr>
      <w:r w:rsidRPr="00B46382">
        <w:rPr>
          <w:rFonts w:ascii="Arial" w:hAnsi="Arial" w:cs="Arial"/>
        </w:rPr>
        <w:t xml:space="preserve">Our small HE student numbers have suppressed the </w:t>
      </w:r>
      <w:proofErr w:type="spellStart"/>
      <w:r w:rsidRPr="00B46382">
        <w:rPr>
          <w:rFonts w:ascii="Arial" w:hAnsi="Arial" w:cs="Arial"/>
        </w:rPr>
        <w:t>OfS</w:t>
      </w:r>
      <w:proofErr w:type="spellEnd"/>
      <w:r w:rsidRPr="00B46382">
        <w:rPr>
          <w:rFonts w:ascii="Arial" w:hAnsi="Arial" w:cs="Arial"/>
        </w:rPr>
        <w:t xml:space="preserve"> dashboard data, therefore </w:t>
      </w:r>
      <w:r w:rsidR="005E39D7" w:rsidRPr="00B46382">
        <w:rPr>
          <w:rFonts w:ascii="Arial" w:hAnsi="Arial" w:cs="Arial"/>
        </w:rPr>
        <w:t>an</w:t>
      </w:r>
      <w:r w:rsidR="004B031B" w:rsidRPr="00B46382">
        <w:rPr>
          <w:rFonts w:ascii="Arial" w:hAnsi="Arial" w:cs="Arial"/>
        </w:rPr>
        <w:t>alysis</w:t>
      </w:r>
      <w:r w:rsidR="00540BEF" w:rsidRPr="00B46382">
        <w:rPr>
          <w:rFonts w:ascii="Arial" w:hAnsi="Arial" w:cs="Arial"/>
        </w:rPr>
        <w:t xml:space="preserve"> in terms of </w:t>
      </w:r>
      <w:r w:rsidR="00540BEF" w:rsidRPr="00B46382">
        <w:rPr>
          <w:rFonts w:ascii="Arial" w:hAnsi="Arial" w:cs="Arial"/>
          <w:color w:val="333333"/>
        </w:rPr>
        <w:t>socio-economic status, ethnicity, age, disability</w:t>
      </w:r>
      <w:r w:rsidR="00C60C2D" w:rsidRPr="00B46382">
        <w:rPr>
          <w:rFonts w:ascii="Arial" w:hAnsi="Arial" w:cs="Arial"/>
          <w:color w:val="333333"/>
        </w:rPr>
        <w:t xml:space="preserve"> has proven difficult.</w:t>
      </w:r>
      <w:r w:rsidR="00540BEF" w:rsidRPr="00B46382">
        <w:rPr>
          <w:rFonts w:ascii="Arial" w:hAnsi="Arial" w:cs="Arial"/>
          <w:color w:val="333333"/>
        </w:rPr>
        <w:t xml:space="preserve"> </w:t>
      </w:r>
      <w:r w:rsidR="005344E4" w:rsidRPr="00B46382">
        <w:rPr>
          <w:rFonts w:ascii="Arial" w:hAnsi="Arial" w:cs="Arial"/>
          <w:color w:val="333333"/>
        </w:rPr>
        <w:t>Due to small numbers</w:t>
      </w:r>
      <w:r w:rsidR="00B1289D" w:rsidRPr="00B46382">
        <w:rPr>
          <w:rFonts w:ascii="Arial" w:hAnsi="Arial" w:cs="Arial"/>
          <w:color w:val="333333"/>
        </w:rPr>
        <w:t>, it has not been appropriate to examine intersections of student characteristics or disaggregate into smaller groups.</w:t>
      </w:r>
      <w:r w:rsidR="00C12F3C" w:rsidRPr="00B46382">
        <w:rPr>
          <w:rFonts w:ascii="Arial" w:hAnsi="Arial" w:cs="Arial"/>
          <w:color w:val="333333"/>
        </w:rPr>
        <w:t xml:space="preserve"> With such </w:t>
      </w:r>
      <w:r w:rsidR="00581790" w:rsidRPr="00B46382">
        <w:rPr>
          <w:rFonts w:ascii="Arial" w:hAnsi="Arial" w:cs="Arial"/>
          <w:color w:val="333333"/>
        </w:rPr>
        <w:t>we have performed our data analysis using internal data</w:t>
      </w:r>
      <w:r w:rsidR="009E64CE" w:rsidRPr="00B46382">
        <w:rPr>
          <w:rFonts w:ascii="Arial" w:hAnsi="Arial" w:cs="Arial"/>
          <w:color w:val="333333"/>
        </w:rPr>
        <w:t xml:space="preserve"> </w:t>
      </w:r>
      <w:r w:rsidR="004B4B58" w:rsidRPr="00B46382">
        <w:rPr>
          <w:rFonts w:ascii="Arial" w:hAnsi="Arial" w:cs="Arial"/>
          <w:color w:val="333333"/>
        </w:rPr>
        <w:t xml:space="preserve">and compared </w:t>
      </w:r>
      <w:r w:rsidR="003B155E" w:rsidRPr="00B46382">
        <w:rPr>
          <w:rFonts w:ascii="Arial" w:hAnsi="Arial" w:cs="Arial"/>
          <w:color w:val="333333"/>
        </w:rPr>
        <w:t>this</w:t>
      </w:r>
      <w:r w:rsidR="004B4B58" w:rsidRPr="00B46382">
        <w:rPr>
          <w:rFonts w:ascii="Arial" w:hAnsi="Arial" w:cs="Arial"/>
          <w:color w:val="333333"/>
        </w:rPr>
        <w:t xml:space="preserve"> to sector-wide data.</w:t>
      </w:r>
      <w:r w:rsidR="0031697A" w:rsidRPr="00B46382">
        <w:rPr>
          <w:rFonts w:ascii="Arial" w:hAnsi="Arial" w:cs="Arial"/>
          <w:color w:val="333333"/>
        </w:rPr>
        <w:t xml:space="preserve"> </w:t>
      </w:r>
      <w:r w:rsidR="00756C21" w:rsidRPr="00B46382">
        <w:rPr>
          <w:rFonts w:ascii="Arial" w:hAnsi="Arial" w:cs="Arial"/>
          <w:color w:val="333333"/>
        </w:rPr>
        <w:t xml:space="preserve">The </w:t>
      </w:r>
      <w:r w:rsidR="0031697A" w:rsidRPr="00B46382">
        <w:rPr>
          <w:rFonts w:ascii="Arial" w:hAnsi="Arial" w:cs="Arial"/>
          <w:color w:val="333333"/>
        </w:rPr>
        <w:t xml:space="preserve">two </w:t>
      </w:r>
      <w:r w:rsidR="00756C21" w:rsidRPr="00B46382">
        <w:rPr>
          <w:rFonts w:ascii="Arial" w:hAnsi="Arial" w:cs="Arial"/>
          <w:color w:val="333333"/>
        </w:rPr>
        <w:t>identified</w:t>
      </w:r>
      <w:r w:rsidR="003B155E" w:rsidRPr="00B46382">
        <w:rPr>
          <w:rFonts w:ascii="Arial" w:hAnsi="Arial" w:cs="Arial"/>
          <w:color w:val="333333"/>
        </w:rPr>
        <w:t xml:space="preserve"> </w:t>
      </w:r>
      <w:r w:rsidR="0031697A" w:rsidRPr="00B46382">
        <w:rPr>
          <w:rFonts w:ascii="Arial" w:hAnsi="Arial" w:cs="Arial"/>
          <w:color w:val="333333"/>
        </w:rPr>
        <w:t xml:space="preserve">target groups are socio-economic status </w:t>
      </w:r>
      <w:r w:rsidR="00756C21" w:rsidRPr="00B46382">
        <w:rPr>
          <w:rFonts w:ascii="Arial" w:hAnsi="Arial" w:cs="Arial"/>
          <w:color w:val="333333"/>
        </w:rPr>
        <w:t>(deprivation</w:t>
      </w:r>
      <w:r w:rsidR="00FC4B5F" w:rsidRPr="00B46382">
        <w:rPr>
          <w:rFonts w:ascii="Arial" w:hAnsi="Arial" w:cs="Arial"/>
          <w:color w:val="333333"/>
        </w:rPr>
        <w:t>, specifically IMD 1-2 group</w:t>
      </w:r>
      <w:r w:rsidR="00303069" w:rsidRPr="00B46382">
        <w:rPr>
          <w:rFonts w:ascii="Arial" w:hAnsi="Arial" w:cs="Arial"/>
          <w:color w:val="333333"/>
        </w:rPr>
        <w:t>)</w:t>
      </w:r>
      <w:r w:rsidR="00756C21" w:rsidRPr="00B46382">
        <w:rPr>
          <w:rFonts w:ascii="Arial" w:hAnsi="Arial" w:cs="Arial"/>
          <w:color w:val="333333"/>
        </w:rPr>
        <w:t xml:space="preserve"> </w:t>
      </w:r>
      <w:r w:rsidR="0031697A" w:rsidRPr="00B46382">
        <w:rPr>
          <w:rFonts w:ascii="Arial" w:hAnsi="Arial" w:cs="Arial"/>
          <w:color w:val="333333"/>
        </w:rPr>
        <w:t xml:space="preserve">and </w:t>
      </w:r>
      <w:r w:rsidR="00756C21" w:rsidRPr="00B46382">
        <w:rPr>
          <w:rFonts w:ascii="Arial" w:hAnsi="Arial" w:cs="Arial"/>
          <w:color w:val="333333"/>
        </w:rPr>
        <w:t>age</w:t>
      </w:r>
      <w:r w:rsidR="00FC4B5F" w:rsidRPr="00B46382">
        <w:rPr>
          <w:rFonts w:ascii="Arial" w:hAnsi="Arial" w:cs="Arial"/>
          <w:color w:val="333333"/>
        </w:rPr>
        <w:t xml:space="preserve"> </w:t>
      </w:r>
      <w:r w:rsidR="00706C1B" w:rsidRPr="00B46382">
        <w:rPr>
          <w:rFonts w:ascii="Arial" w:hAnsi="Arial" w:cs="Arial"/>
          <w:color w:val="333333"/>
        </w:rPr>
        <w:t>(</w:t>
      </w:r>
      <w:r w:rsidR="00FC4B5F" w:rsidRPr="00B46382">
        <w:rPr>
          <w:rFonts w:ascii="Arial" w:hAnsi="Arial" w:cs="Arial"/>
          <w:color w:val="333333"/>
        </w:rPr>
        <w:t>specifically</w:t>
      </w:r>
      <w:r w:rsidR="00706C1B" w:rsidRPr="00B46382">
        <w:rPr>
          <w:rFonts w:ascii="Arial" w:hAnsi="Arial" w:cs="Arial"/>
          <w:color w:val="333333"/>
        </w:rPr>
        <w:t>,</w:t>
      </w:r>
      <w:r w:rsidR="00FC4B5F" w:rsidRPr="00B46382">
        <w:rPr>
          <w:rFonts w:ascii="Arial" w:hAnsi="Arial" w:cs="Arial"/>
          <w:color w:val="333333"/>
        </w:rPr>
        <w:t xml:space="preserve"> young</w:t>
      </w:r>
      <w:r w:rsidR="00706C1B" w:rsidRPr="00B46382">
        <w:rPr>
          <w:rFonts w:ascii="Arial" w:hAnsi="Arial" w:cs="Arial"/>
          <w:color w:val="333333"/>
        </w:rPr>
        <w:t>)</w:t>
      </w:r>
      <w:r w:rsidR="00535290" w:rsidRPr="00B46382">
        <w:rPr>
          <w:rFonts w:ascii="Arial" w:hAnsi="Arial" w:cs="Arial"/>
          <w:color w:val="333333"/>
        </w:rPr>
        <w:t>.</w:t>
      </w:r>
    </w:p>
    <w:p w14:paraId="2BCA3BF3" w14:textId="77E6BCB5" w:rsidR="00307F7A" w:rsidRPr="00B46382" w:rsidRDefault="0055724C" w:rsidP="0055724C">
      <w:pPr>
        <w:pStyle w:val="Heading3"/>
      </w:pPr>
      <w:r>
        <w:t xml:space="preserve">9.1 </w:t>
      </w:r>
      <w:r w:rsidR="00307F7A" w:rsidRPr="00B46382">
        <w:t>Depri</w:t>
      </w:r>
      <w:r w:rsidR="001E0BD4" w:rsidRPr="00B46382">
        <w:t>vation</w:t>
      </w:r>
    </w:p>
    <w:p w14:paraId="197474F7" w14:textId="79D1BA4A" w:rsidR="00240D6F" w:rsidRPr="0055724C" w:rsidRDefault="003E79F7" w:rsidP="006355F5">
      <w:pPr>
        <w:pStyle w:val="NormalWeb"/>
        <w:spacing w:before="0" w:beforeAutospacing="0" w:after="300" w:afterAutospacing="0"/>
        <w:rPr>
          <w:rFonts w:ascii="Arial" w:hAnsi="Arial" w:cs="Arial"/>
        </w:rPr>
      </w:pPr>
      <w:r w:rsidRPr="0055724C">
        <w:rPr>
          <w:rFonts w:ascii="Arial" w:hAnsi="Arial" w:cs="Arial"/>
        </w:rPr>
        <w:t xml:space="preserve">A </w:t>
      </w:r>
      <w:r w:rsidR="00B839FB" w:rsidRPr="0055724C">
        <w:rPr>
          <w:rFonts w:ascii="Arial" w:hAnsi="Arial" w:cs="Arial"/>
        </w:rPr>
        <w:t>5</w:t>
      </w:r>
      <w:r w:rsidRPr="0055724C">
        <w:rPr>
          <w:rFonts w:ascii="Arial" w:hAnsi="Arial" w:cs="Arial"/>
        </w:rPr>
        <w:t>-year trend from 20</w:t>
      </w:r>
      <w:r w:rsidR="00B839FB" w:rsidRPr="0055724C">
        <w:rPr>
          <w:rFonts w:ascii="Arial" w:hAnsi="Arial" w:cs="Arial"/>
        </w:rPr>
        <w:t>18</w:t>
      </w:r>
      <w:r w:rsidRPr="0055724C">
        <w:rPr>
          <w:rFonts w:ascii="Arial" w:hAnsi="Arial" w:cs="Arial"/>
        </w:rPr>
        <w:t>/</w:t>
      </w:r>
      <w:r w:rsidR="00B839FB" w:rsidRPr="0055724C">
        <w:rPr>
          <w:rFonts w:ascii="Arial" w:hAnsi="Arial" w:cs="Arial"/>
        </w:rPr>
        <w:t>19</w:t>
      </w:r>
      <w:r w:rsidRPr="0055724C">
        <w:rPr>
          <w:rFonts w:ascii="Arial" w:hAnsi="Arial" w:cs="Arial"/>
        </w:rPr>
        <w:t xml:space="preserve"> to 2022/23 </w:t>
      </w:r>
      <w:r w:rsidR="000713D3" w:rsidRPr="0055724C">
        <w:rPr>
          <w:rFonts w:ascii="Arial" w:hAnsi="Arial" w:cs="Arial"/>
        </w:rPr>
        <w:t xml:space="preserve">has </w:t>
      </w:r>
      <w:r w:rsidR="00B839FB" w:rsidRPr="0055724C">
        <w:rPr>
          <w:rFonts w:ascii="Arial" w:hAnsi="Arial" w:cs="Arial"/>
        </w:rPr>
        <w:t xml:space="preserve">generally </w:t>
      </w:r>
      <w:r w:rsidR="000713D3" w:rsidRPr="0055724C">
        <w:rPr>
          <w:rFonts w:ascii="Arial" w:hAnsi="Arial" w:cs="Arial"/>
        </w:rPr>
        <w:t xml:space="preserve">shown that students from </w:t>
      </w:r>
      <w:r w:rsidR="008E5244" w:rsidRPr="0055724C">
        <w:rPr>
          <w:rFonts w:ascii="Arial" w:hAnsi="Arial" w:cs="Arial"/>
        </w:rPr>
        <w:t xml:space="preserve">more affluent </w:t>
      </w:r>
      <w:r w:rsidR="0006323A" w:rsidRPr="0055724C">
        <w:rPr>
          <w:rFonts w:ascii="Arial" w:hAnsi="Arial" w:cs="Arial"/>
        </w:rPr>
        <w:t xml:space="preserve">IMD </w:t>
      </w:r>
      <w:r w:rsidR="006A1DD9" w:rsidRPr="0055724C">
        <w:rPr>
          <w:rFonts w:ascii="Arial" w:hAnsi="Arial" w:cs="Arial"/>
        </w:rPr>
        <w:t>3-1</w:t>
      </w:r>
      <w:r w:rsidR="006963FC" w:rsidRPr="0055724C">
        <w:rPr>
          <w:rFonts w:ascii="Arial" w:hAnsi="Arial" w:cs="Arial"/>
        </w:rPr>
        <w:t>0</w:t>
      </w:r>
      <w:r w:rsidR="0036568C" w:rsidRPr="0055724C">
        <w:rPr>
          <w:rFonts w:ascii="Arial" w:hAnsi="Arial" w:cs="Arial"/>
        </w:rPr>
        <w:t xml:space="preserve"> </w:t>
      </w:r>
      <w:r w:rsidR="0006323A" w:rsidRPr="0055724C">
        <w:rPr>
          <w:rFonts w:ascii="Arial" w:hAnsi="Arial" w:cs="Arial"/>
        </w:rPr>
        <w:t>areas to</w:t>
      </w:r>
      <w:r w:rsidR="0036568C" w:rsidRPr="0055724C">
        <w:rPr>
          <w:rFonts w:ascii="Arial" w:hAnsi="Arial" w:cs="Arial"/>
        </w:rPr>
        <w:t xml:space="preserve"> have higher achievement tha</w:t>
      </w:r>
      <w:r w:rsidR="00633FD0" w:rsidRPr="0055724C">
        <w:rPr>
          <w:rFonts w:ascii="Arial" w:hAnsi="Arial" w:cs="Arial"/>
        </w:rPr>
        <w:t>n</w:t>
      </w:r>
      <w:r w:rsidR="0036568C" w:rsidRPr="0055724C">
        <w:rPr>
          <w:rFonts w:ascii="Arial" w:hAnsi="Arial" w:cs="Arial"/>
        </w:rPr>
        <w:t xml:space="preserve"> students from IMD 1-</w:t>
      </w:r>
      <w:r w:rsidR="00633FD0" w:rsidRPr="0055724C">
        <w:rPr>
          <w:rFonts w:ascii="Arial" w:hAnsi="Arial" w:cs="Arial"/>
        </w:rPr>
        <w:t>2</w:t>
      </w:r>
      <w:r w:rsidR="0036568C" w:rsidRPr="0055724C">
        <w:rPr>
          <w:rFonts w:ascii="Arial" w:hAnsi="Arial" w:cs="Arial"/>
        </w:rPr>
        <w:t xml:space="preserve"> are</w:t>
      </w:r>
      <w:r w:rsidR="00B839FB" w:rsidRPr="0055724C">
        <w:rPr>
          <w:rFonts w:ascii="Arial" w:hAnsi="Arial" w:cs="Arial"/>
        </w:rPr>
        <w:t>as</w:t>
      </w:r>
      <w:r w:rsidR="007545A4" w:rsidRPr="0055724C">
        <w:rPr>
          <w:rFonts w:ascii="Arial" w:hAnsi="Arial" w:cs="Arial"/>
        </w:rPr>
        <w:t xml:space="preserve">. </w:t>
      </w:r>
      <w:r w:rsidR="00BC0CD3" w:rsidRPr="0055724C">
        <w:rPr>
          <w:rFonts w:ascii="Arial" w:hAnsi="Arial" w:cs="Arial"/>
        </w:rPr>
        <w:t>I</w:t>
      </w:r>
      <w:r w:rsidR="008455D3" w:rsidRPr="0055724C">
        <w:rPr>
          <w:rFonts w:ascii="Arial" w:hAnsi="Arial" w:cs="Arial"/>
        </w:rPr>
        <w:t xml:space="preserve">n </w:t>
      </w:r>
      <w:r w:rsidR="00465238" w:rsidRPr="0055724C">
        <w:rPr>
          <w:rFonts w:ascii="Arial" w:hAnsi="Arial" w:cs="Arial"/>
        </w:rPr>
        <w:t>2022/23</w:t>
      </w:r>
      <w:r w:rsidR="00C24337" w:rsidRPr="0055724C">
        <w:rPr>
          <w:rFonts w:ascii="Arial" w:hAnsi="Arial" w:cs="Arial"/>
        </w:rPr>
        <w:t xml:space="preserve"> </w:t>
      </w:r>
      <w:r w:rsidR="00804FA2" w:rsidRPr="0055724C">
        <w:rPr>
          <w:rFonts w:ascii="Arial" w:hAnsi="Arial" w:cs="Arial"/>
        </w:rPr>
        <w:t>th</w:t>
      </w:r>
      <w:r w:rsidR="00BC0CD3" w:rsidRPr="0055724C">
        <w:rPr>
          <w:rFonts w:ascii="Arial" w:hAnsi="Arial" w:cs="Arial"/>
        </w:rPr>
        <w:t>is</w:t>
      </w:r>
      <w:r w:rsidR="008455D3" w:rsidRPr="0055724C">
        <w:rPr>
          <w:rFonts w:ascii="Arial" w:hAnsi="Arial" w:cs="Arial"/>
        </w:rPr>
        <w:t xml:space="preserve"> achievement gap </w:t>
      </w:r>
      <w:r w:rsidR="00BC0CD3" w:rsidRPr="0055724C">
        <w:rPr>
          <w:rFonts w:ascii="Arial" w:hAnsi="Arial" w:cs="Arial"/>
        </w:rPr>
        <w:t>reached a threshold of</w:t>
      </w:r>
      <w:r w:rsidR="008455D3" w:rsidRPr="0055724C">
        <w:rPr>
          <w:rFonts w:ascii="Arial" w:hAnsi="Arial" w:cs="Arial"/>
        </w:rPr>
        <w:t xml:space="preserve"> significan</w:t>
      </w:r>
      <w:r w:rsidR="00CA0EA1" w:rsidRPr="0055724C">
        <w:rPr>
          <w:rFonts w:ascii="Arial" w:hAnsi="Arial" w:cs="Arial"/>
        </w:rPr>
        <w:t>ce</w:t>
      </w:r>
      <w:r w:rsidR="007545A4" w:rsidRPr="0055724C">
        <w:rPr>
          <w:rFonts w:ascii="Arial" w:hAnsi="Arial" w:cs="Arial"/>
        </w:rPr>
        <w:t xml:space="preserve"> with</w:t>
      </w:r>
      <w:r w:rsidR="009174F0" w:rsidRPr="0055724C">
        <w:rPr>
          <w:rFonts w:ascii="Arial" w:hAnsi="Arial" w:cs="Arial"/>
        </w:rPr>
        <w:t xml:space="preserve"> </w:t>
      </w:r>
      <w:r w:rsidR="00EC6D20" w:rsidRPr="0055724C">
        <w:rPr>
          <w:rFonts w:ascii="Arial" w:hAnsi="Arial" w:cs="Arial"/>
        </w:rPr>
        <w:t xml:space="preserve">students from IMD 1-2 and 3-10 showing </w:t>
      </w:r>
      <w:r w:rsidR="006963FC" w:rsidRPr="0055724C">
        <w:rPr>
          <w:rFonts w:ascii="Arial" w:hAnsi="Arial" w:cs="Arial"/>
        </w:rPr>
        <w:t>achievement of</w:t>
      </w:r>
      <w:r w:rsidR="00CD1EEF" w:rsidRPr="0055724C">
        <w:rPr>
          <w:rFonts w:ascii="Arial" w:hAnsi="Arial" w:cs="Arial"/>
        </w:rPr>
        <w:t xml:space="preserve"> 60% </w:t>
      </w:r>
      <w:r w:rsidR="008F2052" w:rsidRPr="0055724C">
        <w:rPr>
          <w:rFonts w:ascii="Arial" w:hAnsi="Arial" w:cs="Arial"/>
        </w:rPr>
        <w:t>and 78.85%</w:t>
      </w:r>
      <w:r w:rsidR="000A6A27" w:rsidRPr="0055724C">
        <w:rPr>
          <w:rFonts w:ascii="Arial" w:hAnsi="Arial" w:cs="Arial"/>
        </w:rPr>
        <w:t xml:space="preserve"> respectively</w:t>
      </w:r>
      <w:r w:rsidR="00633FD0" w:rsidRPr="0055724C">
        <w:rPr>
          <w:rFonts w:ascii="Arial" w:hAnsi="Arial" w:cs="Arial"/>
        </w:rPr>
        <w:t xml:space="preserve"> with an achievement gap of 18.85%</w:t>
      </w:r>
      <w:r w:rsidR="000F0A58" w:rsidRPr="0055724C">
        <w:rPr>
          <w:rFonts w:ascii="Arial" w:hAnsi="Arial" w:cs="Arial"/>
        </w:rPr>
        <w:t>.</w:t>
      </w:r>
      <w:r w:rsidR="00E42590" w:rsidRPr="0055724C">
        <w:rPr>
          <w:rFonts w:ascii="Arial" w:hAnsi="Arial" w:cs="Arial"/>
        </w:rPr>
        <w:t xml:space="preserve"> Although students from both IMD 1-2 and 3-10 both show significantly higher pa</w:t>
      </w:r>
      <w:r w:rsidR="000953DC" w:rsidRPr="0055724C">
        <w:rPr>
          <w:rFonts w:ascii="Arial" w:hAnsi="Arial" w:cs="Arial"/>
        </w:rPr>
        <w:t>ss rates</w:t>
      </w:r>
      <w:r w:rsidR="006D6780" w:rsidRPr="0055724C">
        <w:rPr>
          <w:rFonts w:ascii="Arial" w:hAnsi="Arial" w:cs="Arial"/>
        </w:rPr>
        <w:t xml:space="preserve"> (88</w:t>
      </w:r>
      <w:r w:rsidR="003566E0" w:rsidRPr="0055724C">
        <w:rPr>
          <w:rFonts w:ascii="Arial" w:hAnsi="Arial" w:cs="Arial"/>
        </w:rPr>
        <w:t>%</w:t>
      </w:r>
      <w:r w:rsidR="006D6780" w:rsidRPr="0055724C">
        <w:rPr>
          <w:rFonts w:ascii="Arial" w:hAnsi="Arial" w:cs="Arial"/>
        </w:rPr>
        <w:t xml:space="preserve"> and 95%</w:t>
      </w:r>
      <w:r w:rsidR="003566E0" w:rsidRPr="0055724C">
        <w:rPr>
          <w:rFonts w:ascii="Arial" w:hAnsi="Arial" w:cs="Arial"/>
        </w:rPr>
        <w:t xml:space="preserve"> for IMD 1-2 and 3-10 respectively)</w:t>
      </w:r>
      <w:r w:rsidR="006D1442" w:rsidRPr="0055724C">
        <w:rPr>
          <w:rFonts w:ascii="Arial" w:hAnsi="Arial" w:cs="Arial"/>
        </w:rPr>
        <w:t xml:space="preserve"> and have </w:t>
      </w:r>
      <w:r w:rsidR="001440DE" w:rsidRPr="0055724C">
        <w:rPr>
          <w:rFonts w:ascii="Arial" w:hAnsi="Arial" w:cs="Arial"/>
        </w:rPr>
        <w:t>done consistently</w:t>
      </w:r>
      <w:r w:rsidR="006D1442" w:rsidRPr="0055724C">
        <w:rPr>
          <w:rFonts w:ascii="Arial" w:hAnsi="Arial" w:cs="Arial"/>
        </w:rPr>
        <w:t xml:space="preserve"> </w:t>
      </w:r>
      <w:r w:rsidR="009C2ACB" w:rsidRPr="0055724C">
        <w:rPr>
          <w:rFonts w:ascii="Arial" w:hAnsi="Arial" w:cs="Arial"/>
        </w:rPr>
        <w:t>over the last 5 years</w:t>
      </w:r>
      <w:r w:rsidR="000953DC" w:rsidRPr="0055724C">
        <w:rPr>
          <w:rFonts w:ascii="Arial" w:hAnsi="Arial" w:cs="Arial"/>
        </w:rPr>
        <w:t xml:space="preserve">, the achievement gap between these two socio-economic groups provides </w:t>
      </w:r>
      <w:r w:rsidR="000F0A58" w:rsidRPr="0055724C">
        <w:rPr>
          <w:rFonts w:ascii="Arial" w:hAnsi="Arial" w:cs="Arial"/>
        </w:rPr>
        <w:t>the main rational</w:t>
      </w:r>
      <w:r w:rsidR="006D1442" w:rsidRPr="0055724C">
        <w:rPr>
          <w:rFonts w:ascii="Arial" w:hAnsi="Arial" w:cs="Arial"/>
        </w:rPr>
        <w:t>e</w:t>
      </w:r>
      <w:r w:rsidR="000F0A58" w:rsidRPr="0055724C">
        <w:rPr>
          <w:rFonts w:ascii="Arial" w:hAnsi="Arial" w:cs="Arial"/>
        </w:rPr>
        <w:t xml:space="preserve"> for</w:t>
      </w:r>
      <w:r w:rsidR="00874591" w:rsidRPr="0055724C">
        <w:rPr>
          <w:rFonts w:ascii="Arial" w:hAnsi="Arial" w:cs="Arial"/>
        </w:rPr>
        <w:t xml:space="preserve"> </w:t>
      </w:r>
      <w:r w:rsidR="00F57D7C" w:rsidRPr="0055724C">
        <w:rPr>
          <w:rFonts w:ascii="Arial" w:hAnsi="Arial" w:cs="Arial"/>
        </w:rPr>
        <w:t xml:space="preserve">deprivation group being one of the main </w:t>
      </w:r>
      <w:r w:rsidR="00874591" w:rsidRPr="0055724C">
        <w:rPr>
          <w:rFonts w:ascii="Arial" w:hAnsi="Arial" w:cs="Arial"/>
        </w:rPr>
        <w:t>target</w:t>
      </w:r>
      <w:r w:rsidR="00F57D7C" w:rsidRPr="0055724C">
        <w:rPr>
          <w:rFonts w:ascii="Arial" w:hAnsi="Arial" w:cs="Arial"/>
        </w:rPr>
        <w:t>s</w:t>
      </w:r>
      <w:r w:rsidR="005B36DE" w:rsidRPr="0055724C">
        <w:rPr>
          <w:rFonts w:ascii="Arial" w:hAnsi="Arial" w:cs="Arial"/>
        </w:rPr>
        <w:t>/objectives of our APP.</w:t>
      </w:r>
    </w:p>
    <w:p w14:paraId="1DA8336A" w14:textId="60DB0838" w:rsidR="00C85E06" w:rsidRPr="0055724C" w:rsidRDefault="00C4097F" w:rsidP="006355F5">
      <w:pPr>
        <w:pStyle w:val="NormalWeb"/>
        <w:spacing w:before="0" w:beforeAutospacing="0" w:after="300" w:afterAutospacing="0"/>
        <w:rPr>
          <w:rFonts w:ascii="Arial" w:hAnsi="Arial" w:cs="Arial"/>
        </w:rPr>
      </w:pPr>
      <w:r w:rsidRPr="0055724C">
        <w:rPr>
          <w:rFonts w:ascii="Arial" w:hAnsi="Arial" w:cs="Arial"/>
        </w:rPr>
        <w:t xml:space="preserve">In terms of </w:t>
      </w:r>
      <w:r w:rsidR="005010E4" w:rsidRPr="0055724C">
        <w:rPr>
          <w:rFonts w:ascii="Arial" w:hAnsi="Arial" w:cs="Arial"/>
        </w:rPr>
        <w:t>socio-economic group status</w:t>
      </w:r>
      <w:r w:rsidRPr="0055724C">
        <w:rPr>
          <w:rFonts w:ascii="Arial" w:hAnsi="Arial" w:cs="Arial"/>
        </w:rPr>
        <w:t xml:space="preserve">, from 2018-19 to 2021-22 </w:t>
      </w:r>
      <w:r w:rsidR="00B23B7B" w:rsidRPr="0055724C">
        <w:rPr>
          <w:rFonts w:ascii="Arial" w:hAnsi="Arial" w:cs="Arial"/>
        </w:rPr>
        <w:t>our</w:t>
      </w:r>
      <w:r w:rsidRPr="0055724C">
        <w:rPr>
          <w:rFonts w:ascii="Arial" w:hAnsi="Arial" w:cs="Arial"/>
        </w:rPr>
        <w:t xml:space="preserve"> data has evidenced a</w:t>
      </w:r>
      <w:r w:rsidR="002E201A" w:rsidRPr="0055724C">
        <w:rPr>
          <w:rFonts w:ascii="Arial" w:hAnsi="Arial" w:cs="Arial"/>
        </w:rPr>
        <w:t xml:space="preserve"> decrease fr</w:t>
      </w:r>
      <w:r w:rsidR="009D6A93" w:rsidRPr="0055724C">
        <w:rPr>
          <w:rFonts w:ascii="Arial" w:hAnsi="Arial" w:cs="Arial"/>
        </w:rPr>
        <w:t>om 32.4% to 19.3%</w:t>
      </w:r>
      <w:r w:rsidR="00306766" w:rsidRPr="0055724C">
        <w:rPr>
          <w:rFonts w:ascii="Arial" w:hAnsi="Arial" w:cs="Arial"/>
        </w:rPr>
        <w:t xml:space="preserve"> in students from IMD 1-2 areas accessing HE</w:t>
      </w:r>
      <w:r w:rsidR="003E01D6" w:rsidRPr="0055724C">
        <w:rPr>
          <w:rFonts w:ascii="Arial" w:hAnsi="Arial" w:cs="Arial"/>
        </w:rPr>
        <w:t xml:space="preserve"> on a </w:t>
      </w:r>
      <w:r w:rsidR="0050771B" w:rsidRPr="0055724C">
        <w:rPr>
          <w:rFonts w:ascii="Arial" w:hAnsi="Arial" w:cs="Arial"/>
        </w:rPr>
        <w:t>‘</w:t>
      </w:r>
      <w:r w:rsidR="003E01D6" w:rsidRPr="0055724C">
        <w:rPr>
          <w:rFonts w:ascii="Arial" w:hAnsi="Arial" w:cs="Arial"/>
        </w:rPr>
        <w:t>part-time</w:t>
      </w:r>
      <w:r w:rsidR="0050771B" w:rsidRPr="0055724C">
        <w:rPr>
          <w:rFonts w:ascii="Arial" w:hAnsi="Arial" w:cs="Arial"/>
        </w:rPr>
        <w:t>’</w:t>
      </w:r>
      <w:r w:rsidR="003E01D6" w:rsidRPr="0055724C">
        <w:rPr>
          <w:rFonts w:ascii="Arial" w:hAnsi="Arial" w:cs="Arial"/>
        </w:rPr>
        <w:t xml:space="preserve"> basis</w:t>
      </w:r>
      <w:r w:rsidR="00476A7E" w:rsidRPr="0055724C">
        <w:rPr>
          <w:rFonts w:ascii="Arial" w:hAnsi="Arial" w:cs="Arial"/>
        </w:rPr>
        <w:t xml:space="preserve">. </w:t>
      </w:r>
      <w:r w:rsidR="00004844" w:rsidRPr="0055724C">
        <w:rPr>
          <w:rFonts w:ascii="Arial" w:hAnsi="Arial" w:cs="Arial"/>
        </w:rPr>
        <w:t>It is to be considered if this is</w:t>
      </w:r>
      <w:r w:rsidR="00214CD8" w:rsidRPr="0055724C">
        <w:rPr>
          <w:rFonts w:ascii="Arial" w:hAnsi="Arial" w:cs="Arial"/>
        </w:rPr>
        <w:t xml:space="preserve"> a post-COVID impact, whereby less people from more deprived backgrounds </w:t>
      </w:r>
      <w:r w:rsidR="004B15A6" w:rsidRPr="0055724C">
        <w:rPr>
          <w:rFonts w:ascii="Arial" w:hAnsi="Arial" w:cs="Arial"/>
        </w:rPr>
        <w:t xml:space="preserve">consider HE to be less accessible. </w:t>
      </w:r>
      <w:r w:rsidR="00632FCA" w:rsidRPr="0055724C">
        <w:rPr>
          <w:rFonts w:ascii="Arial" w:hAnsi="Arial" w:cs="Arial"/>
        </w:rPr>
        <w:t xml:space="preserve">Whilst </w:t>
      </w:r>
      <w:r w:rsidR="00476A7E" w:rsidRPr="0055724C">
        <w:rPr>
          <w:rFonts w:ascii="Arial" w:hAnsi="Arial" w:cs="Arial"/>
        </w:rPr>
        <w:t>an increase from 67.6% to 80.7%</w:t>
      </w:r>
      <w:r w:rsidR="00306766" w:rsidRPr="0055724C">
        <w:rPr>
          <w:rFonts w:ascii="Arial" w:hAnsi="Arial" w:cs="Arial"/>
        </w:rPr>
        <w:t xml:space="preserve"> from more affluent </w:t>
      </w:r>
      <w:r w:rsidR="00632FCA" w:rsidRPr="0055724C">
        <w:rPr>
          <w:rFonts w:ascii="Arial" w:hAnsi="Arial" w:cs="Arial"/>
        </w:rPr>
        <w:t>(</w:t>
      </w:r>
      <w:r w:rsidR="00306766" w:rsidRPr="0055724C">
        <w:rPr>
          <w:rFonts w:ascii="Arial" w:hAnsi="Arial" w:cs="Arial"/>
        </w:rPr>
        <w:t>IMD 3-5</w:t>
      </w:r>
      <w:r w:rsidR="00632FCA" w:rsidRPr="0055724C">
        <w:rPr>
          <w:rFonts w:ascii="Arial" w:hAnsi="Arial" w:cs="Arial"/>
        </w:rPr>
        <w:t>)</w:t>
      </w:r>
      <w:r w:rsidR="00306766" w:rsidRPr="0055724C">
        <w:rPr>
          <w:rFonts w:ascii="Arial" w:hAnsi="Arial" w:cs="Arial"/>
        </w:rPr>
        <w:t xml:space="preserve"> areas accessing HE</w:t>
      </w:r>
      <w:r w:rsidR="00632FCA" w:rsidRPr="0055724C">
        <w:rPr>
          <w:rFonts w:ascii="Arial" w:hAnsi="Arial" w:cs="Arial"/>
        </w:rPr>
        <w:t xml:space="preserve"> has been observed</w:t>
      </w:r>
      <w:r w:rsidR="00306766" w:rsidRPr="0055724C">
        <w:rPr>
          <w:rFonts w:ascii="Arial" w:hAnsi="Arial" w:cs="Arial"/>
        </w:rPr>
        <w:t>.</w:t>
      </w:r>
      <w:r w:rsidR="00F014D8" w:rsidRPr="0055724C">
        <w:rPr>
          <w:rFonts w:ascii="Arial" w:hAnsi="Arial" w:cs="Arial"/>
        </w:rPr>
        <w:t xml:space="preserve"> </w:t>
      </w:r>
      <w:r w:rsidR="00785C28" w:rsidRPr="0055724C">
        <w:rPr>
          <w:rFonts w:ascii="Arial" w:hAnsi="Arial" w:cs="Arial"/>
        </w:rPr>
        <w:t>In contrast,</w:t>
      </w:r>
      <w:r w:rsidR="00BC0091" w:rsidRPr="0055724C">
        <w:rPr>
          <w:rFonts w:ascii="Arial" w:hAnsi="Arial" w:cs="Arial"/>
        </w:rPr>
        <w:t xml:space="preserve"> sector-wide data has shown</w:t>
      </w:r>
      <w:r w:rsidR="00BD1586" w:rsidRPr="0055724C">
        <w:rPr>
          <w:rFonts w:ascii="Arial" w:hAnsi="Arial" w:cs="Arial"/>
        </w:rPr>
        <w:t xml:space="preserve"> over the same timeframe a</w:t>
      </w:r>
      <w:r w:rsidR="00420545" w:rsidRPr="0055724C">
        <w:rPr>
          <w:rFonts w:ascii="Arial" w:hAnsi="Arial" w:cs="Arial"/>
        </w:rPr>
        <w:t>n increase</w:t>
      </w:r>
      <w:r w:rsidR="00BD1586" w:rsidRPr="0055724C">
        <w:rPr>
          <w:rFonts w:ascii="Arial" w:hAnsi="Arial" w:cs="Arial"/>
        </w:rPr>
        <w:t xml:space="preserve"> from </w:t>
      </w:r>
      <w:r w:rsidR="00420545" w:rsidRPr="0055724C">
        <w:rPr>
          <w:rFonts w:ascii="Arial" w:hAnsi="Arial" w:cs="Arial"/>
        </w:rPr>
        <w:t>38.1</w:t>
      </w:r>
      <w:r w:rsidR="00BD1586" w:rsidRPr="0055724C">
        <w:rPr>
          <w:rFonts w:ascii="Arial" w:hAnsi="Arial" w:cs="Arial"/>
        </w:rPr>
        <w:t xml:space="preserve">% to </w:t>
      </w:r>
      <w:r w:rsidR="00420545" w:rsidRPr="0055724C">
        <w:rPr>
          <w:rFonts w:ascii="Arial" w:hAnsi="Arial" w:cs="Arial"/>
        </w:rPr>
        <w:t>40.3</w:t>
      </w:r>
      <w:r w:rsidR="00BD1586" w:rsidRPr="0055724C">
        <w:rPr>
          <w:rFonts w:ascii="Arial" w:hAnsi="Arial" w:cs="Arial"/>
        </w:rPr>
        <w:t>% in students from IMD 1-2 areas accessing HE on a part-time basis.</w:t>
      </w:r>
      <w:r w:rsidR="00420545" w:rsidRPr="0055724C">
        <w:rPr>
          <w:rFonts w:ascii="Arial" w:hAnsi="Arial" w:cs="Arial"/>
        </w:rPr>
        <w:t xml:space="preserve"> </w:t>
      </w:r>
      <w:r w:rsidR="00213831" w:rsidRPr="0055724C">
        <w:rPr>
          <w:rFonts w:ascii="Arial" w:hAnsi="Arial" w:cs="Arial"/>
        </w:rPr>
        <w:t>This is a difference</w:t>
      </w:r>
      <w:r w:rsidR="00AB0F96" w:rsidRPr="0055724C">
        <w:rPr>
          <w:rFonts w:ascii="Arial" w:hAnsi="Arial" w:cs="Arial"/>
        </w:rPr>
        <w:t xml:space="preserve"> between our </w:t>
      </w:r>
      <w:r w:rsidR="00353186" w:rsidRPr="0055724C">
        <w:rPr>
          <w:rFonts w:ascii="Arial" w:hAnsi="Arial" w:cs="Arial"/>
        </w:rPr>
        <w:t>own data</w:t>
      </w:r>
      <w:r w:rsidR="00AB0F96" w:rsidRPr="0055724C">
        <w:rPr>
          <w:rFonts w:ascii="Arial" w:hAnsi="Arial" w:cs="Arial"/>
        </w:rPr>
        <w:t xml:space="preserve"> and sector-wide data </w:t>
      </w:r>
      <w:r w:rsidR="00213831" w:rsidRPr="0055724C">
        <w:rPr>
          <w:rFonts w:ascii="Arial" w:hAnsi="Arial" w:cs="Arial"/>
        </w:rPr>
        <w:t>of</w:t>
      </w:r>
      <w:r w:rsidRPr="0055724C">
        <w:rPr>
          <w:rFonts w:ascii="Arial" w:hAnsi="Arial" w:cs="Arial"/>
        </w:rPr>
        <w:t xml:space="preserve"> </w:t>
      </w:r>
      <w:r w:rsidR="00A5080D" w:rsidRPr="0055724C">
        <w:rPr>
          <w:rFonts w:ascii="Arial" w:hAnsi="Arial" w:cs="Arial"/>
        </w:rPr>
        <w:t>-</w:t>
      </w:r>
      <w:r w:rsidR="00942012" w:rsidRPr="0055724C">
        <w:rPr>
          <w:rFonts w:ascii="Arial" w:hAnsi="Arial" w:cs="Arial"/>
        </w:rPr>
        <w:t>5.7</w:t>
      </w:r>
      <w:r w:rsidRPr="0055724C">
        <w:rPr>
          <w:rFonts w:ascii="Arial" w:hAnsi="Arial" w:cs="Arial"/>
        </w:rPr>
        <w:t xml:space="preserve">% </w:t>
      </w:r>
      <w:r w:rsidR="001A468D" w:rsidRPr="0055724C">
        <w:rPr>
          <w:rFonts w:ascii="Arial" w:hAnsi="Arial" w:cs="Arial"/>
        </w:rPr>
        <w:t xml:space="preserve">in </w:t>
      </w:r>
      <w:r w:rsidR="001B3C19" w:rsidRPr="0055724C">
        <w:rPr>
          <w:rFonts w:ascii="Arial" w:hAnsi="Arial" w:cs="Arial"/>
        </w:rPr>
        <w:t xml:space="preserve">2018-19 </w:t>
      </w:r>
      <w:r w:rsidR="006B566F" w:rsidRPr="0055724C">
        <w:rPr>
          <w:rFonts w:ascii="Arial" w:hAnsi="Arial" w:cs="Arial"/>
        </w:rPr>
        <w:t>and</w:t>
      </w:r>
      <w:r w:rsidRPr="0055724C">
        <w:rPr>
          <w:rFonts w:ascii="Arial" w:hAnsi="Arial" w:cs="Arial"/>
        </w:rPr>
        <w:t xml:space="preserve"> </w:t>
      </w:r>
      <w:r w:rsidR="00942012" w:rsidRPr="0055724C">
        <w:rPr>
          <w:rFonts w:ascii="Arial" w:hAnsi="Arial" w:cs="Arial"/>
        </w:rPr>
        <w:t>-21</w:t>
      </w:r>
      <w:r w:rsidR="001B3C19" w:rsidRPr="0055724C">
        <w:rPr>
          <w:rFonts w:ascii="Arial" w:hAnsi="Arial" w:cs="Arial"/>
        </w:rPr>
        <w:t>% (</w:t>
      </w:r>
      <w:r w:rsidR="00602B5A" w:rsidRPr="0055724C">
        <w:rPr>
          <w:rFonts w:ascii="Arial" w:hAnsi="Arial" w:cs="Arial"/>
        </w:rPr>
        <w:t>2021-22</w:t>
      </w:r>
      <w:r w:rsidR="001B3C19" w:rsidRPr="0055724C">
        <w:rPr>
          <w:rFonts w:ascii="Arial" w:hAnsi="Arial" w:cs="Arial"/>
        </w:rPr>
        <w:t>)</w:t>
      </w:r>
      <w:r w:rsidR="006B566F" w:rsidRPr="0055724C">
        <w:rPr>
          <w:rFonts w:ascii="Arial" w:hAnsi="Arial" w:cs="Arial"/>
        </w:rPr>
        <w:t>, emp</w:t>
      </w:r>
      <w:r w:rsidR="00381268" w:rsidRPr="0055724C">
        <w:rPr>
          <w:rFonts w:ascii="Arial" w:hAnsi="Arial" w:cs="Arial"/>
        </w:rPr>
        <w:t xml:space="preserve">hasising our </w:t>
      </w:r>
      <w:r w:rsidR="009A2AAF" w:rsidRPr="0055724C">
        <w:rPr>
          <w:rFonts w:ascii="Arial" w:hAnsi="Arial" w:cs="Arial"/>
        </w:rPr>
        <w:t>continued decease</w:t>
      </w:r>
      <w:r w:rsidR="00381268" w:rsidRPr="0055724C">
        <w:rPr>
          <w:rFonts w:ascii="Arial" w:hAnsi="Arial" w:cs="Arial"/>
        </w:rPr>
        <w:t xml:space="preserve"> in access </w:t>
      </w:r>
      <w:r w:rsidR="009A2AAF" w:rsidRPr="0055724C">
        <w:rPr>
          <w:rFonts w:ascii="Arial" w:hAnsi="Arial" w:cs="Arial"/>
        </w:rPr>
        <w:t xml:space="preserve">to HE </w:t>
      </w:r>
      <w:r w:rsidR="00AB0F96" w:rsidRPr="0055724C">
        <w:rPr>
          <w:rFonts w:ascii="Arial" w:hAnsi="Arial" w:cs="Arial"/>
        </w:rPr>
        <w:t xml:space="preserve">for </w:t>
      </w:r>
      <w:r w:rsidR="00EB068C" w:rsidRPr="0055724C">
        <w:rPr>
          <w:rFonts w:ascii="Arial" w:hAnsi="Arial" w:cs="Arial"/>
        </w:rPr>
        <w:t xml:space="preserve">‘part-time’ </w:t>
      </w:r>
      <w:r w:rsidR="00782139" w:rsidRPr="0055724C">
        <w:rPr>
          <w:rFonts w:ascii="Arial" w:hAnsi="Arial" w:cs="Arial"/>
        </w:rPr>
        <w:t xml:space="preserve">students from </w:t>
      </w:r>
      <w:proofErr w:type="gramStart"/>
      <w:r w:rsidR="00782139" w:rsidRPr="0055724C">
        <w:rPr>
          <w:rFonts w:ascii="Arial" w:hAnsi="Arial" w:cs="Arial"/>
        </w:rPr>
        <w:t>a</w:t>
      </w:r>
      <w:proofErr w:type="gramEnd"/>
      <w:r w:rsidR="00782139" w:rsidRPr="0055724C">
        <w:rPr>
          <w:rFonts w:ascii="Arial" w:hAnsi="Arial" w:cs="Arial"/>
        </w:rPr>
        <w:t xml:space="preserve"> IMD1-2 area</w:t>
      </w:r>
      <w:r w:rsidR="00AB0F96" w:rsidRPr="0055724C">
        <w:rPr>
          <w:rFonts w:ascii="Arial" w:hAnsi="Arial" w:cs="Arial"/>
        </w:rPr>
        <w:t>s</w:t>
      </w:r>
      <w:r w:rsidR="00D55340" w:rsidRPr="0055724C">
        <w:rPr>
          <w:rFonts w:ascii="Arial" w:hAnsi="Arial" w:cs="Arial"/>
        </w:rPr>
        <w:t xml:space="preserve"> in contrast to sector wide data</w:t>
      </w:r>
      <w:r w:rsidRPr="0055724C">
        <w:rPr>
          <w:rFonts w:ascii="Arial" w:hAnsi="Arial" w:cs="Arial"/>
        </w:rPr>
        <w:t xml:space="preserve">. </w:t>
      </w:r>
      <w:r w:rsidR="0059071B" w:rsidRPr="0055724C">
        <w:rPr>
          <w:rFonts w:ascii="Arial" w:hAnsi="Arial" w:cs="Arial"/>
        </w:rPr>
        <w:t xml:space="preserve">In contrast, </w:t>
      </w:r>
      <w:r w:rsidR="00680651" w:rsidRPr="0055724C">
        <w:rPr>
          <w:rFonts w:ascii="Arial" w:hAnsi="Arial" w:cs="Arial"/>
        </w:rPr>
        <w:t xml:space="preserve">compared to sector-wide data, </w:t>
      </w:r>
      <w:r w:rsidR="00535F37" w:rsidRPr="0055724C">
        <w:rPr>
          <w:rFonts w:ascii="Arial" w:hAnsi="Arial" w:cs="Arial"/>
        </w:rPr>
        <w:t xml:space="preserve">our college shows a </w:t>
      </w:r>
      <w:r w:rsidR="00E15067" w:rsidRPr="0055724C">
        <w:rPr>
          <w:rFonts w:ascii="Arial" w:hAnsi="Arial" w:cs="Arial"/>
        </w:rPr>
        <w:t xml:space="preserve">percentage </w:t>
      </w:r>
      <w:r w:rsidR="0057065F" w:rsidRPr="0055724C">
        <w:rPr>
          <w:rFonts w:ascii="Arial" w:hAnsi="Arial" w:cs="Arial"/>
        </w:rPr>
        <w:t>increase from</w:t>
      </w:r>
      <w:r w:rsidR="00535F37" w:rsidRPr="0055724C">
        <w:rPr>
          <w:rFonts w:ascii="Arial" w:hAnsi="Arial" w:cs="Arial"/>
        </w:rPr>
        <w:t xml:space="preserve"> </w:t>
      </w:r>
      <w:r w:rsidR="004E4E34" w:rsidRPr="0055724C">
        <w:rPr>
          <w:rFonts w:ascii="Arial" w:hAnsi="Arial" w:cs="Arial"/>
        </w:rPr>
        <w:t>26.1</w:t>
      </w:r>
      <w:r w:rsidR="00E15067" w:rsidRPr="0055724C">
        <w:rPr>
          <w:rFonts w:ascii="Arial" w:hAnsi="Arial" w:cs="Arial"/>
        </w:rPr>
        <w:t>%</w:t>
      </w:r>
      <w:r w:rsidR="00535F37" w:rsidRPr="0055724C">
        <w:rPr>
          <w:rFonts w:ascii="Arial" w:hAnsi="Arial" w:cs="Arial"/>
        </w:rPr>
        <w:t xml:space="preserve"> </w:t>
      </w:r>
      <w:r w:rsidR="0057065F" w:rsidRPr="0055724C">
        <w:rPr>
          <w:rFonts w:ascii="Arial" w:hAnsi="Arial" w:cs="Arial"/>
        </w:rPr>
        <w:t>(</w:t>
      </w:r>
      <w:r w:rsidR="004D5BB5" w:rsidRPr="0055724C">
        <w:rPr>
          <w:rFonts w:ascii="Arial" w:hAnsi="Arial" w:cs="Arial"/>
        </w:rPr>
        <w:t xml:space="preserve">2018-19) </w:t>
      </w:r>
      <w:r w:rsidR="0057065F" w:rsidRPr="0055724C">
        <w:rPr>
          <w:rFonts w:ascii="Arial" w:hAnsi="Arial" w:cs="Arial"/>
        </w:rPr>
        <w:t>to</w:t>
      </w:r>
      <w:r w:rsidR="00535F37" w:rsidRPr="0055724C">
        <w:rPr>
          <w:rFonts w:ascii="Arial" w:hAnsi="Arial" w:cs="Arial"/>
        </w:rPr>
        <w:t xml:space="preserve"> 2</w:t>
      </w:r>
      <w:r w:rsidR="004E4E34" w:rsidRPr="0055724C">
        <w:rPr>
          <w:rFonts w:ascii="Arial" w:hAnsi="Arial" w:cs="Arial"/>
        </w:rPr>
        <w:t>8</w:t>
      </w:r>
      <w:r w:rsidR="00535F37" w:rsidRPr="0055724C">
        <w:rPr>
          <w:rFonts w:ascii="Arial" w:hAnsi="Arial" w:cs="Arial"/>
        </w:rPr>
        <w:t>.1</w:t>
      </w:r>
      <w:r w:rsidR="004E4E34" w:rsidRPr="0055724C">
        <w:rPr>
          <w:rFonts w:ascii="Arial" w:hAnsi="Arial" w:cs="Arial"/>
        </w:rPr>
        <w:t>2</w:t>
      </w:r>
      <w:r w:rsidR="00535F37" w:rsidRPr="0055724C">
        <w:rPr>
          <w:rFonts w:ascii="Arial" w:hAnsi="Arial" w:cs="Arial"/>
        </w:rPr>
        <w:t xml:space="preserve">% </w:t>
      </w:r>
      <w:r w:rsidR="004D5BB5" w:rsidRPr="0055724C">
        <w:rPr>
          <w:rFonts w:ascii="Arial" w:hAnsi="Arial" w:cs="Arial"/>
        </w:rPr>
        <w:t>(2021-22)</w:t>
      </w:r>
      <w:r w:rsidR="00B81E53" w:rsidRPr="0055724C">
        <w:rPr>
          <w:rFonts w:ascii="Arial" w:hAnsi="Arial" w:cs="Arial"/>
        </w:rPr>
        <w:t xml:space="preserve"> in terms of </w:t>
      </w:r>
      <w:r w:rsidR="00111DB5" w:rsidRPr="0055724C">
        <w:rPr>
          <w:rFonts w:ascii="Arial" w:hAnsi="Arial" w:cs="Arial"/>
        </w:rPr>
        <w:t xml:space="preserve">students from IMD 1-2 </w:t>
      </w:r>
      <w:r w:rsidR="00E67D42" w:rsidRPr="0055724C">
        <w:rPr>
          <w:rFonts w:ascii="Arial" w:hAnsi="Arial" w:cs="Arial"/>
        </w:rPr>
        <w:t xml:space="preserve">areas </w:t>
      </w:r>
      <w:r w:rsidR="00B81E53" w:rsidRPr="0055724C">
        <w:rPr>
          <w:rFonts w:ascii="Arial" w:hAnsi="Arial" w:cs="Arial"/>
        </w:rPr>
        <w:t xml:space="preserve">accessing HE on a </w:t>
      </w:r>
      <w:r w:rsidR="00523E61" w:rsidRPr="0055724C">
        <w:rPr>
          <w:rFonts w:ascii="Arial" w:hAnsi="Arial" w:cs="Arial"/>
        </w:rPr>
        <w:t>‘</w:t>
      </w:r>
      <w:r w:rsidR="00B81E53" w:rsidRPr="0055724C">
        <w:rPr>
          <w:rFonts w:ascii="Arial" w:hAnsi="Arial" w:cs="Arial"/>
        </w:rPr>
        <w:t>full-time</w:t>
      </w:r>
      <w:r w:rsidR="00523E61" w:rsidRPr="0055724C">
        <w:rPr>
          <w:rFonts w:ascii="Arial" w:hAnsi="Arial" w:cs="Arial"/>
        </w:rPr>
        <w:t>’</w:t>
      </w:r>
      <w:r w:rsidR="00B81E53" w:rsidRPr="0055724C">
        <w:rPr>
          <w:rFonts w:ascii="Arial" w:hAnsi="Arial" w:cs="Arial"/>
        </w:rPr>
        <w:t xml:space="preserve"> basis</w:t>
      </w:r>
      <w:r w:rsidR="00F02DC8" w:rsidRPr="0055724C">
        <w:rPr>
          <w:rFonts w:ascii="Arial" w:hAnsi="Arial" w:cs="Arial"/>
        </w:rPr>
        <w:t xml:space="preserve">, </w:t>
      </w:r>
      <w:r w:rsidR="00072E53" w:rsidRPr="0055724C">
        <w:rPr>
          <w:rFonts w:ascii="Arial" w:hAnsi="Arial" w:cs="Arial"/>
        </w:rPr>
        <w:t xml:space="preserve">which is more </w:t>
      </w:r>
      <w:r w:rsidR="009A099C" w:rsidRPr="0055724C">
        <w:rPr>
          <w:rFonts w:ascii="Arial" w:hAnsi="Arial" w:cs="Arial"/>
        </w:rPr>
        <w:t>comparable</w:t>
      </w:r>
      <w:r w:rsidR="00072E53" w:rsidRPr="0055724C">
        <w:rPr>
          <w:rFonts w:ascii="Arial" w:hAnsi="Arial" w:cs="Arial"/>
        </w:rPr>
        <w:t xml:space="preserve"> </w:t>
      </w:r>
      <w:r w:rsidR="006B4288" w:rsidRPr="0055724C">
        <w:rPr>
          <w:rFonts w:ascii="Arial" w:hAnsi="Arial" w:cs="Arial"/>
        </w:rPr>
        <w:t>w</w:t>
      </w:r>
      <w:r w:rsidR="00072E53" w:rsidRPr="0055724C">
        <w:rPr>
          <w:rFonts w:ascii="Arial" w:hAnsi="Arial" w:cs="Arial"/>
        </w:rPr>
        <w:t>ith</w:t>
      </w:r>
      <w:r w:rsidR="00140F0F" w:rsidRPr="0055724C">
        <w:rPr>
          <w:rFonts w:ascii="Arial" w:hAnsi="Arial" w:cs="Arial"/>
        </w:rPr>
        <w:t xml:space="preserve"> </w:t>
      </w:r>
      <w:r w:rsidR="00F02DC8" w:rsidRPr="0055724C">
        <w:rPr>
          <w:rFonts w:ascii="Arial" w:hAnsi="Arial" w:cs="Arial"/>
        </w:rPr>
        <w:t xml:space="preserve">sector wide </w:t>
      </w:r>
      <w:r w:rsidR="00072E53" w:rsidRPr="0055724C">
        <w:rPr>
          <w:rFonts w:ascii="Arial" w:hAnsi="Arial" w:cs="Arial"/>
        </w:rPr>
        <w:t>data</w:t>
      </w:r>
      <w:r w:rsidR="00140F0F" w:rsidRPr="0055724C">
        <w:rPr>
          <w:rFonts w:ascii="Arial" w:hAnsi="Arial" w:cs="Arial"/>
        </w:rPr>
        <w:t xml:space="preserve"> </w:t>
      </w:r>
      <w:r w:rsidR="00072E53" w:rsidRPr="0055724C">
        <w:rPr>
          <w:rFonts w:ascii="Arial" w:hAnsi="Arial" w:cs="Arial"/>
        </w:rPr>
        <w:t>(28.2%</w:t>
      </w:r>
      <w:r w:rsidR="00672482" w:rsidRPr="0055724C">
        <w:rPr>
          <w:rFonts w:ascii="Arial" w:hAnsi="Arial" w:cs="Arial"/>
        </w:rPr>
        <w:t>, 2021-22</w:t>
      </w:r>
      <w:r w:rsidR="00E67D42" w:rsidRPr="0055724C">
        <w:rPr>
          <w:rFonts w:ascii="Arial" w:hAnsi="Arial" w:cs="Arial"/>
        </w:rPr>
        <w:t>, IMD 1-2</w:t>
      </w:r>
      <w:r w:rsidR="00072E53" w:rsidRPr="0055724C">
        <w:rPr>
          <w:rFonts w:ascii="Arial" w:hAnsi="Arial" w:cs="Arial"/>
        </w:rPr>
        <w:t>)</w:t>
      </w:r>
      <w:r w:rsidR="007B522C" w:rsidRPr="0055724C">
        <w:rPr>
          <w:rFonts w:ascii="Arial" w:hAnsi="Arial" w:cs="Arial"/>
        </w:rPr>
        <w:t>.</w:t>
      </w:r>
      <w:r w:rsidR="00F3597E" w:rsidRPr="0055724C">
        <w:rPr>
          <w:rFonts w:ascii="Arial" w:hAnsi="Arial" w:cs="Arial"/>
        </w:rPr>
        <w:t xml:space="preserve"> </w:t>
      </w:r>
    </w:p>
    <w:p w14:paraId="5F318039" w14:textId="0A93FE15" w:rsidR="00B9435B" w:rsidRPr="0055724C" w:rsidRDefault="00784F65" w:rsidP="006355F5">
      <w:pPr>
        <w:pStyle w:val="NormalWeb"/>
        <w:spacing w:before="0" w:beforeAutospacing="0" w:after="300" w:afterAutospacing="0"/>
        <w:rPr>
          <w:rFonts w:ascii="Arial" w:hAnsi="Arial" w:cs="Arial"/>
        </w:rPr>
      </w:pPr>
      <w:r w:rsidRPr="0055724C">
        <w:rPr>
          <w:rFonts w:ascii="Arial" w:hAnsi="Arial" w:cs="Arial"/>
        </w:rPr>
        <w:t>W</w:t>
      </w:r>
      <w:r w:rsidR="00CC66D8" w:rsidRPr="0055724C">
        <w:rPr>
          <w:rFonts w:ascii="Arial" w:hAnsi="Arial" w:cs="Arial"/>
        </w:rPr>
        <w:t xml:space="preserve">e are aware that access to HE </w:t>
      </w:r>
      <w:r w:rsidR="00841E99" w:rsidRPr="0055724C">
        <w:rPr>
          <w:rFonts w:ascii="Arial" w:hAnsi="Arial" w:cs="Arial"/>
        </w:rPr>
        <w:t xml:space="preserve">of students from more deprived areas </w:t>
      </w:r>
      <w:r w:rsidR="00CC66D8" w:rsidRPr="0055724C">
        <w:rPr>
          <w:rFonts w:ascii="Arial" w:hAnsi="Arial" w:cs="Arial"/>
        </w:rPr>
        <w:t xml:space="preserve">on a part-time basis may serve as valid </w:t>
      </w:r>
      <w:r w:rsidR="00841E99" w:rsidRPr="0055724C">
        <w:rPr>
          <w:rFonts w:ascii="Arial" w:hAnsi="Arial" w:cs="Arial"/>
        </w:rPr>
        <w:t>evidence-based performance target</w:t>
      </w:r>
      <w:r w:rsidRPr="0055724C">
        <w:rPr>
          <w:rFonts w:ascii="Arial" w:hAnsi="Arial" w:cs="Arial"/>
        </w:rPr>
        <w:t>.</w:t>
      </w:r>
      <w:r w:rsidR="007D3AEF" w:rsidRPr="0055724C">
        <w:rPr>
          <w:rFonts w:ascii="Arial" w:hAnsi="Arial" w:cs="Arial"/>
        </w:rPr>
        <w:t xml:space="preserve"> Particularly, when </w:t>
      </w:r>
      <w:r w:rsidR="00F85B0F" w:rsidRPr="0055724C">
        <w:rPr>
          <w:rFonts w:ascii="Arial" w:hAnsi="Arial" w:cs="Arial"/>
        </w:rPr>
        <w:t xml:space="preserve">we know that </w:t>
      </w:r>
      <w:r w:rsidR="00613CA0" w:rsidRPr="0055724C">
        <w:rPr>
          <w:rFonts w:ascii="Arial" w:hAnsi="Arial" w:cs="Arial"/>
        </w:rPr>
        <w:t xml:space="preserve">the access </w:t>
      </w:r>
      <w:r w:rsidR="00F85B0F" w:rsidRPr="0055724C">
        <w:rPr>
          <w:rFonts w:ascii="Arial" w:hAnsi="Arial" w:cs="Arial"/>
        </w:rPr>
        <w:t xml:space="preserve">gap between Free School Meal (FSM) eligible and non-FSM eligible pupils has increased </w:t>
      </w:r>
      <w:r w:rsidR="001B514C" w:rsidRPr="0055724C">
        <w:rPr>
          <w:rFonts w:ascii="Arial" w:hAnsi="Arial" w:cs="Arial"/>
        </w:rPr>
        <w:t xml:space="preserve">to its highest level recorded </w:t>
      </w:r>
      <w:r w:rsidR="002374AE" w:rsidRPr="0055724C">
        <w:rPr>
          <w:rFonts w:ascii="Arial" w:hAnsi="Arial" w:cs="Arial"/>
        </w:rPr>
        <w:t xml:space="preserve">in 21-22 </w:t>
      </w:r>
      <w:r w:rsidR="001B514C" w:rsidRPr="0055724C">
        <w:rPr>
          <w:rFonts w:ascii="Arial" w:hAnsi="Arial" w:cs="Arial"/>
        </w:rPr>
        <w:t>(Widening Participation, 2023)</w:t>
      </w:r>
      <w:r w:rsidR="00842C1A" w:rsidRPr="0055724C">
        <w:rPr>
          <w:rFonts w:ascii="Arial" w:hAnsi="Arial" w:cs="Arial"/>
        </w:rPr>
        <w:t xml:space="preserve"> (Note: pupils are considered disadvantaged if they are eligible for FSMs at the age of 15 or in the previous 6 years before). </w:t>
      </w:r>
      <w:r w:rsidRPr="0055724C">
        <w:rPr>
          <w:rFonts w:ascii="Arial" w:hAnsi="Arial" w:cs="Arial"/>
        </w:rPr>
        <w:t xml:space="preserve">Yet we have chosen to focus on </w:t>
      </w:r>
      <w:r w:rsidR="001911B0" w:rsidRPr="0055724C">
        <w:rPr>
          <w:rFonts w:ascii="Arial" w:hAnsi="Arial" w:cs="Arial"/>
        </w:rPr>
        <w:t xml:space="preserve">supporting the quality of our HE </w:t>
      </w:r>
      <w:proofErr w:type="gramStart"/>
      <w:r w:rsidR="001911B0" w:rsidRPr="0055724C">
        <w:rPr>
          <w:rFonts w:ascii="Arial" w:hAnsi="Arial" w:cs="Arial"/>
        </w:rPr>
        <w:t>provision</w:t>
      </w:r>
      <w:proofErr w:type="gramEnd"/>
      <w:r w:rsidR="000D47C3" w:rsidRPr="0055724C">
        <w:rPr>
          <w:rFonts w:ascii="Arial" w:hAnsi="Arial" w:cs="Arial"/>
        </w:rPr>
        <w:t xml:space="preserve"> within this 4-year </w:t>
      </w:r>
      <w:r w:rsidR="003B1FCF" w:rsidRPr="0055724C">
        <w:rPr>
          <w:rFonts w:ascii="Arial" w:hAnsi="Arial" w:cs="Arial"/>
        </w:rPr>
        <w:t>APP,</w:t>
      </w:r>
      <w:r w:rsidR="001911B0" w:rsidRPr="0055724C">
        <w:rPr>
          <w:rFonts w:ascii="Arial" w:hAnsi="Arial" w:cs="Arial"/>
        </w:rPr>
        <w:t xml:space="preserve"> </w:t>
      </w:r>
      <w:r w:rsidR="00ED0EC8" w:rsidRPr="0055724C">
        <w:rPr>
          <w:rFonts w:ascii="Arial" w:hAnsi="Arial" w:cs="Arial"/>
        </w:rPr>
        <w:t>in terms of reducing the achievement gap between students from IMD 1-2 and 3-10 areas</w:t>
      </w:r>
      <w:r w:rsidR="00BF15E5" w:rsidRPr="0055724C">
        <w:rPr>
          <w:rFonts w:ascii="Arial" w:hAnsi="Arial" w:cs="Arial"/>
        </w:rPr>
        <w:t xml:space="preserve"> based on more </w:t>
      </w:r>
      <w:r w:rsidR="00604851" w:rsidRPr="0055724C">
        <w:rPr>
          <w:rFonts w:ascii="Arial" w:hAnsi="Arial" w:cs="Arial"/>
        </w:rPr>
        <w:t>significant data</w:t>
      </w:r>
      <w:r w:rsidR="00826154" w:rsidRPr="0055724C">
        <w:rPr>
          <w:rFonts w:ascii="Arial" w:hAnsi="Arial" w:cs="Arial"/>
        </w:rPr>
        <w:t xml:space="preserve"> </w:t>
      </w:r>
      <w:r w:rsidR="001635D5" w:rsidRPr="0055724C">
        <w:rPr>
          <w:rFonts w:ascii="Arial" w:hAnsi="Arial" w:cs="Arial"/>
        </w:rPr>
        <w:t>in terms of our low numbers</w:t>
      </w:r>
      <w:r w:rsidR="00826154" w:rsidRPr="0055724C">
        <w:rPr>
          <w:rFonts w:ascii="Arial" w:hAnsi="Arial" w:cs="Arial"/>
        </w:rPr>
        <w:t xml:space="preserve">. </w:t>
      </w:r>
      <w:r w:rsidR="007874BF" w:rsidRPr="0055724C">
        <w:rPr>
          <w:rFonts w:ascii="Arial" w:hAnsi="Arial" w:cs="Arial"/>
        </w:rPr>
        <w:t xml:space="preserve">Yet we believe that </w:t>
      </w:r>
      <w:r w:rsidR="007A4DF8" w:rsidRPr="0055724C">
        <w:rPr>
          <w:rFonts w:ascii="Arial" w:hAnsi="Arial" w:cs="Arial"/>
        </w:rPr>
        <w:t xml:space="preserve">some of </w:t>
      </w:r>
      <w:r w:rsidR="007874BF" w:rsidRPr="0055724C">
        <w:rPr>
          <w:rFonts w:ascii="Arial" w:hAnsi="Arial" w:cs="Arial"/>
        </w:rPr>
        <w:t xml:space="preserve">the planned intervention </w:t>
      </w:r>
      <w:r w:rsidR="00261A99" w:rsidRPr="0055724C">
        <w:rPr>
          <w:rFonts w:ascii="Arial" w:hAnsi="Arial" w:cs="Arial"/>
        </w:rPr>
        <w:t xml:space="preserve">activities although </w:t>
      </w:r>
      <w:r w:rsidR="00FD7A72" w:rsidRPr="0055724C">
        <w:rPr>
          <w:rFonts w:ascii="Arial" w:hAnsi="Arial" w:cs="Arial"/>
        </w:rPr>
        <w:t>designed</w:t>
      </w:r>
      <w:r w:rsidR="00261A99" w:rsidRPr="0055724C">
        <w:rPr>
          <w:rFonts w:ascii="Arial" w:hAnsi="Arial" w:cs="Arial"/>
        </w:rPr>
        <w:t xml:space="preserve"> to reduce this achievement gap </w:t>
      </w:r>
      <w:r w:rsidR="00FD7A72" w:rsidRPr="0055724C">
        <w:rPr>
          <w:rFonts w:ascii="Arial" w:hAnsi="Arial" w:cs="Arial"/>
        </w:rPr>
        <w:t xml:space="preserve">between deprivation groups </w:t>
      </w:r>
      <w:r w:rsidR="00261A99" w:rsidRPr="0055724C">
        <w:rPr>
          <w:rFonts w:ascii="Arial" w:hAnsi="Arial" w:cs="Arial"/>
        </w:rPr>
        <w:t>will also</w:t>
      </w:r>
      <w:r w:rsidR="00B96418" w:rsidRPr="0055724C">
        <w:rPr>
          <w:rFonts w:ascii="Arial" w:hAnsi="Arial" w:cs="Arial"/>
        </w:rPr>
        <w:t xml:space="preserve"> have a positive impact on</w:t>
      </w:r>
      <w:r w:rsidR="00556127" w:rsidRPr="0055724C">
        <w:rPr>
          <w:rFonts w:ascii="Arial" w:hAnsi="Arial" w:cs="Arial"/>
        </w:rPr>
        <w:t xml:space="preserve"> increasing </w:t>
      </w:r>
      <w:r w:rsidR="00A328A1" w:rsidRPr="0055724C">
        <w:rPr>
          <w:rFonts w:ascii="Arial" w:hAnsi="Arial" w:cs="Arial"/>
        </w:rPr>
        <w:t xml:space="preserve">the </w:t>
      </w:r>
      <w:r w:rsidR="009A099C" w:rsidRPr="0055724C">
        <w:rPr>
          <w:rFonts w:ascii="Arial" w:hAnsi="Arial" w:cs="Arial"/>
        </w:rPr>
        <w:t xml:space="preserve">part-time </w:t>
      </w:r>
      <w:r w:rsidR="00A328A1" w:rsidRPr="0055724C">
        <w:rPr>
          <w:rFonts w:ascii="Arial" w:hAnsi="Arial" w:cs="Arial"/>
        </w:rPr>
        <w:t xml:space="preserve">numbers of students from IMD1-2 areas </w:t>
      </w:r>
      <w:r w:rsidR="00556127" w:rsidRPr="0055724C">
        <w:rPr>
          <w:rFonts w:ascii="Arial" w:hAnsi="Arial" w:cs="Arial"/>
        </w:rPr>
        <w:t>access</w:t>
      </w:r>
      <w:r w:rsidR="00C35485" w:rsidRPr="0055724C">
        <w:rPr>
          <w:rFonts w:ascii="Arial" w:hAnsi="Arial" w:cs="Arial"/>
        </w:rPr>
        <w:t>ing</w:t>
      </w:r>
      <w:r w:rsidR="00556127" w:rsidRPr="0055724C">
        <w:rPr>
          <w:rFonts w:ascii="Arial" w:hAnsi="Arial" w:cs="Arial"/>
        </w:rPr>
        <w:t xml:space="preserve"> HE and we welcome the </w:t>
      </w:r>
      <w:r w:rsidR="008B5307" w:rsidRPr="0055724C">
        <w:rPr>
          <w:rFonts w:ascii="Arial" w:hAnsi="Arial" w:cs="Arial"/>
        </w:rPr>
        <w:t xml:space="preserve">increase in </w:t>
      </w:r>
      <w:r w:rsidR="00B96418" w:rsidRPr="0055724C">
        <w:rPr>
          <w:rFonts w:ascii="Arial" w:hAnsi="Arial" w:cs="Arial"/>
        </w:rPr>
        <w:t>student numbers</w:t>
      </w:r>
      <w:r w:rsidR="0057401E" w:rsidRPr="0055724C">
        <w:rPr>
          <w:rFonts w:ascii="Arial" w:hAnsi="Arial" w:cs="Arial"/>
        </w:rPr>
        <w:t xml:space="preserve"> i.e. development of new HTQs.</w:t>
      </w:r>
    </w:p>
    <w:p w14:paraId="5D6C4A7C" w14:textId="2612682A" w:rsidR="0039378E" w:rsidRPr="00B46382" w:rsidRDefault="0052302E" w:rsidP="006355F5">
      <w:pPr>
        <w:pStyle w:val="NormalWeb"/>
        <w:spacing w:before="0" w:beforeAutospacing="0" w:after="300" w:afterAutospacing="0"/>
        <w:rPr>
          <w:rFonts w:ascii="Arial" w:hAnsi="Arial" w:cs="Arial"/>
          <w:color w:val="333333"/>
        </w:rPr>
      </w:pPr>
      <w:r w:rsidRPr="00B46382">
        <w:rPr>
          <w:rFonts w:ascii="Arial" w:hAnsi="Arial" w:cs="Arial"/>
          <w:color w:val="333333"/>
        </w:rPr>
        <w:lastRenderedPageBreak/>
        <w:t xml:space="preserve">It is likely that more courses offered part-time will allow students to work in paid employment alongside their study providing more financial stability for themselves and their families. </w:t>
      </w:r>
      <w:r w:rsidRPr="00B46382">
        <w:rPr>
          <w:rFonts w:ascii="Arial" w:hAnsi="Arial" w:cs="Arial"/>
        </w:rPr>
        <w:t xml:space="preserve">We are committed to the development our HTQ offer that will allow a more employer-responsive model to create flexible and modular/unitised qualifications to meet local need. We anticipate the HTQs to also be a more accessible and attractive HE </w:t>
      </w:r>
      <w:proofErr w:type="gramStart"/>
      <w:r w:rsidRPr="00B46382">
        <w:rPr>
          <w:rFonts w:ascii="Arial" w:hAnsi="Arial" w:cs="Arial"/>
        </w:rPr>
        <w:t>offer</w:t>
      </w:r>
      <w:proofErr w:type="gramEnd"/>
      <w:r w:rsidRPr="00B46382">
        <w:rPr>
          <w:rFonts w:ascii="Arial" w:hAnsi="Arial" w:cs="Arial"/>
        </w:rPr>
        <w:t xml:space="preserve"> with the advent of the LLE in January 2026 which will allow the financial means for more students to Access HE.</w:t>
      </w:r>
    </w:p>
    <w:p w14:paraId="3AEB71EB" w14:textId="738B3D2E" w:rsidR="00DF163E" w:rsidRPr="00B46382" w:rsidRDefault="0055724C" w:rsidP="0055724C">
      <w:pPr>
        <w:pStyle w:val="Heading3"/>
        <w:rPr>
          <w:sz w:val="24"/>
        </w:rPr>
      </w:pPr>
      <w:r>
        <w:t>9.2 Age</w:t>
      </w:r>
    </w:p>
    <w:p w14:paraId="2F7715DF" w14:textId="54B3AB5F" w:rsidR="004C129E" w:rsidRPr="0055724C" w:rsidRDefault="003C7969" w:rsidP="007E40BA">
      <w:pPr>
        <w:pStyle w:val="NormalWeb"/>
        <w:spacing w:before="0" w:beforeAutospacing="0" w:after="300" w:afterAutospacing="0"/>
        <w:rPr>
          <w:rFonts w:ascii="Arial" w:hAnsi="Arial" w:cs="Arial"/>
        </w:rPr>
      </w:pPr>
      <w:r w:rsidRPr="0055724C">
        <w:rPr>
          <w:rFonts w:ascii="Arial" w:hAnsi="Arial" w:cs="Arial"/>
        </w:rPr>
        <w:t xml:space="preserve">A 5-year trend from 2018/19 to 2022/23 has </w:t>
      </w:r>
      <w:r w:rsidR="004C129E" w:rsidRPr="0055724C">
        <w:rPr>
          <w:rFonts w:ascii="Arial" w:hAnsi="Arial" w:cs="Arial"/>
        </w:rPr>
        <w:t>consistently</w:t>
      </w:r>
      <w:r w:rsidRPr="0055724C">
        <w:rPr>
          <w:rFonts w:ascii="Arial" w:hAnsi="Arial" w:cs="Arial"/>
        </w:rPr>
        <w:t xml:space="preserve"> shown mature students (</w:t>
      </w:r>
      <w:r w:rsidR="009C3BAE" w:rsidRPr="0055724C">
        <w:rPr>
          <w:rFonts w:ascii="Arial" w:hAnsi="Arial" w:cs="Arial"/>
        </w:rPr>
        <w:t xml:space="preserve">21+ years) </w:t>
      </w:r>
      <w:r w:rsidRPr="0055724C">
        <w:rPr>
          <w:rFonts w:ascii="Arial" w:hAnsi="Arial" w:cs="Arial"/>
        </w:rPr>
        <w:t xml:space="preserve">to have higher achievement than </w:t>
      </w:r>
      <w:r w:rsidR="009C3BAE" w:rsidRPr="0055724C">
        <w:rPr>
          <w:rFonts w:ascii="Arial" w:hAnsi="Arial" w:cs="Arial"/>
        </w:rPr>
        <w:t xml:space="preserve">young </w:t>
      </w:r>
      <w:r w:rsidRPr="0055724C">
        <w:rPr>
          <w:rFonts w:ascii="Arial" w:hAnsi="Arial" w:cs="Arial"/>
        </w:rPr>
        <w:t xml:space="preserve">students. </w:t>
      </w:r>
      <w:r w:rsidR="00CA0EA1" w:rsidRPr="0055724C">
        <w:rPr>
          <w:rFonts w:ascii="Arial" w:hAnsi="Arial" w:cs="Arial"/>
        </w:rPr>
        <w:t>In 2022/23 this achievement gap reached a threshold of significance</w:t>
      </w:r>
      <w:r w:rsidRPr="0055724C">
        <w:rPr>
          <w:rFonts w:ascii="Arial" w:hAnsi="Arial" w:cs="Arial"/>
        </w:rPr>
        <w:t xml:space="preserve"> with </w:t>
      </w:r>
      <w:r w:rsidR="00DE6D1E" w:rsidRPr="0055724C">
        <w:rPr>
          <w:rFonts w:ascii="Arial" w:hAnsi="Arial" w:cs="Arial"/>
        </w:rPr>
        <w:t xml:space="preserve">young </w:t>
      </w:r>
      <w:r w:rsidR="00524431" w:rsidRPr="0055724C">
        <w:rPr>
          <w:rFonts w:ascii="Arial" w:hAnsi="Arial" w:cs="Arial"/>
        </w:rPr>
        <w:t xml:space="preserve">and mature </w:t>
      </w:r>
      <w:r w:rsidRPr="0055724C">
        <w:rPr>
          <w:rFonts w:ascii="Arial" w:hAnsi="Arial" w:cs="Arial"/>
        </w:rPr>
        <w:t>students</w:t>
      </w:r>
      <w:r w:rsidR="00DE6D1E" w:rsidRPr="0055724C">
        <w:rPr>
          <w:rFonts w:ascii="Arial" w:hAnsi="Arial" w:cs="Arial"/>
        </w:rPr>
        <w:t xml:space="preserve"> </w:t>
      </w:r>
      <w:r w:rsidRPr="0055724C">
        <w:rPr>
          <w:rFonts w:ascii="Arial" w:hAnsi="Arial" w:cs="Arial"/>
        </w:rPr>
        <w:t xml:space="preserve">showing achievement of </w:t>
      </w:r>
      <w:r w:rsidR="00DE6D1E" w:rsidRPr="0055724C">
        <w:rPr>
          <w:rFonts w:ascii="Arial" w:hAnsi="Arial" w:cs="Arial"/>
        </w:rPr>
        <w:t>62.5</w:t>
      </w:r>
      <w:r w:rsidRPr="0055724C">
        <w:rPr>
          <w:rFonts w:ascii="Arial" w:hAnsi="Arial" w:cs="Arial"/>
        </w:rPr>
        <w:t xml:space="preserve">% and </w:t>
      </w:r>
      <w:r w:rsidR="00DE6D1E" w:rsidRPr="0055724C">
        <w:rPr>
          <w:rFonts w:ascii="Arial" w:hAnsi="Arial" w:cs="Arial"/>
        </w:rPr>
        <w:t>80</w:t>
      </w:r>
      <w:r w:rsidRPr="0055724C">
        <w:rPr>
          <w:rFonts w:ascii="Arial" w:hAnsi="Arial" w:cs="Arial"/>
        </w:rPr>
        <w:t>% respectively with an achievement gap of 1</w:t>
      </w:r>
      <w:r w:rsidR="00524431" w:rsidRPr="0055724C">
        <w:rPr>
          <w:rFonts w:ascii="Arial" w:hAnsi="Arial" w:cs="Arial"/>
        </w:rPr>
        <w:t>7.50</w:t>
      </w:r>
      <w:r w:rsidRPr="0055724C">
        <w:rPr>
          <w:rFonts w:ascii="Arial" w:hAnsi="Arial" w:cs="Arial"/>
        </w:rPr>
        <w:t xml:space="preserve">%. Although </w:t>
      </w:r>
      <w:r w:rsidR="00524431" w:rsidRPr="0055724C">
        <w:rPr>
          <w:rFonts w:ascii="Arial" w:hAnsi="Arial" w:cs="Arial"/>
        </w:rPr>
        <w:t>both young and mature students</w:t>
      </w:r>
      <w:r w:rsidRPr="0055724C">
        <w:rPr>
          <w:rFonts w:ascii="Arial" w:hAnsi="Arial" w:cs="Arial"/>
        </w:rPr>
        <w:t xml:space="preserve"> show higher pass rates (</w:t>
      </w:r>
      <w:r w:rsidR="0096352C" w:rsidRPr="0055724C">
        <w:rPr>
          <w:rFonts w:ascii="Arial" w:hAnsi="Arial" w:cs="Arial"/>
        </w:rPr>
        <w:t>83</w:t>
      </w:r>
      <w:r w:rsidRPr="0055724C">
        <w:rPr>
          <w:rFonts w:ascii="Arial" w:hAnsi="Arial" w:cs="Arial"/>
        </w:rPr>
        <w:t xml:space="preserve">% and </w:t>
      </w:r>
      <w:r w:rsidR="0096352C" w:rsidRPr="0055724C">
        <w:rPr>
          <w:rFonts w:ascii="Arial" w:hAnsi="Arial" w:cs="Arial"/>
        </w:rPr>
        <w:t>100</w:t>
      </w:r>
      <w:r w:rsidRPr="0055724C">
        <w:rPr>
          <w:rFonts w:ascii="Arial" w:hAnsi="Arial" w:cs="Arial"/>
        </w:rPr>
        <w:t xml:space="preserve">% for </w:t>
      </w:r>
      <w:r w:rsidR="0096352C" w:rsidRPr="0055724C">
        <w:rPr>
          <w:rFonts w:ascii="Arial" w:hAnsi="Arial" w:cs="Arial"/>
        </w:rPr>
        <w:t>young and mature</w:t>
      </w:r>
      <w:r w:rsidRPr="0055724C">
        <w:rPr>
          <w:rFonts w:ascii="Arial" w:hAnsi="Arial" w:cs="Arial"/>
        </w:rPr>
        <w:t xml:space="preserve"> </w:t>
      </w:r>
      <w:r w:rsidR="0096352C" w:rsidRPr="0055724C">
        <w:rPr>
          <w:rFonts w:ascii="Arial" w:hAnsi="Arial" w:cs="Arial"/>
        </w:rPr>
        <w:t xml:space="preserve">students </w:t>
      </w:r>
      <w:r w:rsidRPr="0055724C">
        <w:rPr>
          <w:rFonts w:ascii="Arial" w:hAnsi="Arial" w:cs="Arial"/>
        </w:rPr>
        <w:t>respectively) and have done consistently over the last 5 years, the achievement gap between the</w:t>
      </w:r>
      <w:r w:rsidR="004C129E" w:rsidRPr="0055724C">
        <w:rPr>
          <w:rFonts w:ascii="Arial" w:hAnsi="Arial" w:cs="Arial"/>
        </w:rPr>
        <w:t>se</w:t>
      </w:r>
      <w:r w:rsidR="0096352C" w:rsidRPr="0055724C">
        <w:rPr>
          <w:rFonts w:ascii="Arial" w:hAnsi="Arial" w:cs="Arial"/>
        </w:rPr>
        <w:t xml:space="preserve"> two age</w:t>
      </w:r>
      <w:r w:rsidRPr="0055724C">
        <w:rPr>
          <w:rFonts w:ascii="Arial" w:hAnsi="Arial" w:cs="Arial"/>
        </w:rPr>
        <w:t xml:space="preserve"> groups provides the main rationale for </w:t>
      </w:r>
      <w:r w:rsidR="0096352C" w:rsidRPr="0055724C">
        <w:rPr>
          <w:rFonts w:ascii="Arial" w:hAnsi="Arial" w:cs="Arial"/>
        </w:rPr>
        <w:t>age</w:t>
      </w:r>
      <w:r w:rsidRPr="0055724C">
        <w:rPr>
          <w:rFonts w:ascii="Arial" w:hAnsi="Arial" w:cs="Arial"/>
        </w:rPr>
        <w:t xml:space="preserve"> group being the </w:t>
      </w:r>
      <w:r w:rsidR="00277FD9" w:rsidRPr="0055724C">
        <w:rPr>
          <w:rFonts w:ascii="Arial" w:hAnsi="Arial" w:cs="Arial"/>
        </w:rPr>
        <w:t xml:space="preserve">second </w:t>
      </w:r>
      <w:r w:rsidRPr="0055724C">
        <w:rPr>
          <w:rFonts w:ascii="Arial" w:hAnsi="Arial" w:cs="Arial"/>
        </w:rPr>
        <w:t xml:space="preserve">main target/objective of our APP. </w:t>
      </w:r>
    </w:p>
    <w:p w14:paraId="42202C6A" w14:textId="49943664" w:rsidR="00A36F80" w:rsidRPr="0055724C" w:rsidRDefault="00900711" w:rsidP="007E40BA">
      <w:pPr>
        <w:pStyle w:val="NormalWeb"/>
        <w:spacing w:before="0" w:beforeAutospacing="0" w:after="300" w:afterAutospacing="0"/>
        <w:rPr>
          <w:rFonts w:ascii="Arial" w:hAnsi="Arial" w:cs="Arial"/>
        </w:rPr>
      </w:pPr>
      <w:r w:rsidRPr="0055724C">
        <w:rPr>
          <w:rFonts w:ascii="Arial" w:hAnsi="Arial" w:cs="Arial"/>
        </w:rPr>
        <w:t>It may be that mature students feel more invested and have different motivations</w:t>
      </w:r>
      <w:r w:rsidR="006A60CE" w:rsidRPr="0055724C">
        <w:rPr>
          <w:rFonts w:ascii="Arial" w:hAnsi="Arial" w:cs="Arial"/>
        </w:rPr>
        <w:t xml:space="preserve"> </w:t>
      </w:r>
      <w:r w:rsidR="0055458F" w:rsidRPr="0055724C">
        <w:rPr>
          <w:rFonts w:ascii="Arial" w:hAnsi="Arial" w:cs="Arial"/>
        </w:rPr>
        <w:t>(</w:t>
      </w:r>
      <w:proofErr w:type="spellStart"/>
      <w:r w:rsidR="0055458F" w:rsidRPr="0055724C">
        <w:rPr>
          <w:rFonts w:ascii="Arial" w:hAnsi="Arial" w:cs="Arial"/>
        </w:rPr>
        <w:t>OfS</w:t>
      </w:r>
      <w:proofErr w:type="spellEnd"/>
      <w:r w:rsidR="0055458F" w:rsidRPr="0055724C">
        <w:rPr>
          <w:rFonts w:ascii="Arial" w:hAnsi="Arial" w:cs="Arial"/>
        </w:rPr>
        <w:t xml:space="preserve">, 2021) </w:t>
      </w:r>
      <w:r w:rsidR="006A60CE" w:rsidRPr="0055724C">
        <w:rPr>
          <w:rFonts w:ascii="Arial" w:hAnsi="Arial" w:cs="Arial"/>
        </w:rPr>
        <w:t>and more at risk</w:t>
      </w:r>
      <w:r w:rsidRPr="0055724C">
        <w:rPr>
          <w:rFonts w:ascii="Arial" w:hAnsi="Arial" w:cs="Arial"/>
        </w:rPr>
        <w:t xml:space="preserve"> </w:t>
      </w:r>
      <w:r w:rsidR="00BF5708" w:rsidRPr="0055724C">
        <w:rPr>
          <w:rFonts w:ascii="Arial" w:hAnsi="Arial" w:cs="Arial"/>
        </w:rPr>
        <w:t xml:space="preserve">by non-completion </w:t>
      </w:r>
      <w:r w:rsidRPr="0055724C">
        <w:rPr>
          <w:rFonts w:ascii="Arial" w:hAnsi="Arial" w:cs="Arial"/>
        </w:rPr>
        <w:t>comp</w:t>
      </w:r>
      <w:r w:rsidR="00C07B14" w:rsidRPr="0055724C">
        <w:rPr>
          <w:rFonts w:ascii="Arial" w:hAnsi="Arial" w:cs="Arial"/>
        </w:rPr>
        <w:t xml:space="preserve">ared </w:t>
      </w:r>
      <w:r w:rsidRPr="0055724C">
        <w:rPr>
          <w:rFonts w:ascii="Arial" w:hAnsi="Arial" w:cs="Arial"/>
        </w:rPr>
        <w:t xml:space="preserve">to young students which </w:t>
      </w:r>
      <w:r w:rsidR="00C07B14" w:rsidRPr="0055724C">
        <w:rPr>
          <w:rFonts w:ascii="Arial" w:hAnsi="Arial" w:cs="Arial"/>
        </w:rPr>
        <w:t>contributes to th</w:t>
      </w:r>
      <w:r w:rsidR="00E32C3C" w:rsidRPr="0055724C">
        <w:rPr>
          <w:rFonts w:ascii="Arial" w:hAnsi="Arial" w:cs="Arial"/>
        </w:rPr>
        <w:t>e</w:t>
      </w:r>
      <w:r w:rsidR="00A61660" w:rsidRPr="0055724C">
        <w:rPr>
          <w:rFonts w:ascii="Arial" w:hAnsi="Arial" w:cs="Arial"/>
        </w:rPr>
        <w:t xml:space="preserve">ir </w:t>
      </w:r>
      <w:r w:rsidR="007E4707" w:rsidRPr="0055724C">
        <w:rPr>
          <w:rFonts w:ascii="Arial" w:hAnsi="Arial" w:cs="Arial"/>
        </w:rPr>
        <w:t>better achievement than younger counterparts</w:t>
      </w:r>
      <w:r w:rsidR="00C07B14" w:rsidRPr="0055724C">
        <w:rPr>
          <w:rFonts w:ascii="Arial" w:hAnsi="Arial" w:cs="Arial"/>
        </w:rPr>
        <w:t>.</w:t>
      </w:r>
      <w:r w:rsidR="00BC19B8" w:rsidRPr="0055724C">
        <w:rPr>
          <w:rFonts w:ascii="Arial" w:hAnsi="Arial" w:cs="Arial"/>
        </w:rPr>
        <w:t xml:space="preserve"> </w:t>
      </w:r>
      <w:r w:rsidR="005752D9" w:rsidRPr="0055724C">
        <w:rPr>
          <w:rFonts w:ascii="Arial" w:hAnsi="Arial" w:cs="Arial"/>
        </w:rPr>
        <w:t xml:space="preserve">Although, </w:t>
      </w:r>
      <w:r w:rsidR="00AC3357" w:rsidRPr="0055724C">
        <w:rPr>
          <w:rFonts w:ascii="Arial" w:hAnsi="Arial" w:cs="Arial"/>
        </w:rPr>
        <w:t>our own data tells us many of our</w:t>
      </w:r>
      <w:r w:rsidR="00BC19B8" w:rsidRPr="0055724C">
        <w:rPr>
          <w:rFonts w:ascii="Arial" w:hAnsi="Arial" w:cs="Arial"/>
        </w:rPr>
        <w:t xml:space="preserve"> </w:t>
      </w:r>
      <w:r w:rsidR="00494B9C" w:rsidRPr="0055724C">
        <w:rPr>
          <w:rFonts w:ascii="Arial" w:hAnsi="Arial" w:cs="Arial"/>
        </w:rPr>
        <w:t>young students progr</w:t>
      </w:r>
      <w:r w:rsidR="00146988" w:rsidRPr="0055724C">
        <w:rPr>
          <w:rFonts w:ascii="Arial" w:hAnsi="Arial" w:cs="Arial"/>
        </w:rPr>
        <w:t>essing</w:t>
      </w:r>
      <w:r w:rsidR="00494B9C" w:rsidRPr="0055724C">
        <w:rPr>
          <w:rFonts w:ascii="Arial" w:hAnsi="Arial" w:cs="Arial"/>
        </w:rPr>
        <w:t xml:space="preserve"> from </w:t>
      </w:r>
      <w:r w:rsidR="00146988" w:rsidRPr="0055724C">
        <w:rPr>
          <w:rFonts w:ascii="Arial" w:hAnsi="Arial" w:cs="Arial"/>
        </w:rPr>
        <w:t xml:space="preserve">our </w:t>
      </w:r>
      <w:r w:rsidR="00494B9C" w:rsidRPr="0055724C">
        <w:rPr>
          <w:rFonts w:ascii="Arial" w:hAnsi="Arial" w:cs="Arial"/>
        </w:rPr>
        <w:t>level 3 pr</w:t>
      </w:r>
      <w:r w:rsidR="00A54A17" w:rsidRPr="0055724C">
        <w:rPr>
          <w:rFonts w:ascii="Arial" w:hAnsi="Arial" w:cs="Arial"/>
        </w:rPr>
        <w:t>o</w:t>
      </w:r>
      <w:r w:rsidR="00494B9C" w:rsidRPr="0055724C">
        <w:rPr>
          <w:rFonts w:ascii="Arial" w:hAnsi="Arial" w:cs="Arial"/>
        </w:rPr>
        <w:t>grammes</w:t>
      </w:r>
      <w:r w:rsidR="005A20D1" w:rsidRPr="0055724C">
        <w:rPr>
          <w:rFonts w:ascii="Arial" w:hAnsi="Arial" w:cs="Arial"/>
        </w:rPr>
        <w:t xml:space="preserve"> into our HE </w:t>
      </w:r>
      <w:proofErr w:type="gramStart"/>
      <w:r w:rsidR="005A20D1" w:rsidRPr="0055724C">
        <w:rPr>
          <w:rFonts w:ascii="Arial" w:hAnsi="Arial" w:cs="Arial"/>
        </w:rPr>
        <w:t>provision</w:t>
      </w:r>
      <w:proofErr w:type="gramEnd"/>
      <w:r w:rsidR="00A54A17" w:rsidRPr="0055724C">
        <w:rPr>
          <w:rFonts w:ascii="Arial" w:hAnsi="Arial" w:cs="Arial"/>
        </w:rPr>
        <w:t xml:space="preserve"> </w:t>
      </w:r>
      <w:r w:rsidR="00146988" w:rsidRPr="0055724C">
        <w:rPr>
          <w:rFonts w:ascii="Arial" w:hAnsi="Arial" w:cs="Arial"/>
        </w:rPr>
        <w:t xml:space="preserve">often have low </w:t>
      </w:r>
      <w:r w:rsidR="00F365AC" w:rsidRPr="0055724C">
        <w:rPr>
          <w:rFonts w:ascii="Arial" w:hAnsi="Arial" w:cs="Arial"/>
        </w:rPr>
        <w:t>entry gra</w:t>
      </w:r>
      <w:r w:rsidR="005A20D1" w:rsidRPr="0055724C">
        <w:rPr>
          <w:rFonts w:ascii="Arial" w:hAnsi="Arial" w:cs="Arial"/>
        </w:rPr>
        <w:t>d</w:t>
      </w:r>
      <w:r w:rsidR="00F365AC" w:rsidRPr="0055724C">
        <w:rPr>
          <w:rFonts w:ascii="Arial" w:hAnsi="Arial" w:cs="Arial"/>
        </w:rPr>
        <w:t>es</w:t>
      </w:r>
      <w:r w:rsidR="00AC3357" w:rsidRPr="0055724C">
        <w:rPr>
          <w:rFonts w:ascii="Arial" w:hAnsi="Arial" w:cs="Arial"/>
        </w:rPr>
        <w:t>/starting points</w:t>
      </w:r>
      <w:r w:rsidR="009D149A" w:rsidRPr="0055724C">
        <w:rPr>
          <w:rFonts w:ascii="Arial" w:hAnsi="Arial" w:cs="Arial"/>
        </w:rPr>
        <w:t xml:space="preserve"> – this rationale is explored further in Annex B.</w:t>
      </w:r>
    </w:p>
    <w:p w14:paraId="5B38DD91" w14:textId="1F73A6E8" w:rsidR="008C67D7" w:rsidRPr="0055724C" w:rsidRDefault="002767AE" w:rsidP="00BE796B">
      <w:pPr>
        <w:pStyle w:val="NormalWeb"/>
        <w:spacing w:before="0" w:beforeAutospacing="0" w:after="300" w:afterAutospacing="0"/>
        <w:rPr>
          <w:rFonts w:ascii="Arial" w:hAnsi="Arial" w:cs="Arial"/>
        </w:rPr>
      </w:pPr>
      <w:r w:rsidRPr="0055724C">
        <w:rPr>
          <w:rFonts w:ascii="Arial" w:hAnsi="Arial" w:cs="Arial"/>
        </w:rPr>
        <w:t xml:space="preserve">Over recent years </w:t>
      </w:r>
      <w:r w:rsidR="000944D2" w:rsidRPr="0055724C">
        <w:rPr>
          <w:rFonts w:ascii="Arial" w:hAnsi="Arial" w:cs="Arial"/>
        </w:rPr>
        <w:t>our access data has been comparable with</w:t>
      </w:r>
      <w:r w:rsidR="00772EA1" w:rsidRPr="0055724C">
        <w:rPr>
          <w:rFonts w:ascii="Arial" w:hAnsi="Arial" w:cs="Arial"/>
        </w:rPr>
        <w:t xml:space="preserve"> sector-wide data</w:t>
      </w:r>
      <w:r w:rsidR="002E3DA6" w:rsidRPr="0055724C">
        <w:rPr>
          <w:rFonts w:ascii="Arial" w:hAnsi="Arial" w:cs="Arial"/>
        </w:rPr>
        <w:t xml:space="preserve"> in terms of age</w:t>
      </w:r>
      <w:r w:rsidR="00B17418" w:rsidRPr="0055724C">
        <w:rPr>
          <w:rFonts w:ascii="Arial" w:hAnsi="Arial" w:cs="Arial"/>
        </w:rPr>
        <w:t xml:space="preserve"> for part-time provision</w:t>
      </w:r>
      <w:r w:rsidR="002E3DA6" w:rsidRPr="0055724C">
        <w:rPr>
          <w:rFonts w:ascii="Arial" w:hAnsi="Arial" w:cs="Arial"/>
        </w:rPr>
        <w:t>. As would be expected more mature students access part-time HE courses</w:t>
      </w:r>
      <w:r w:rsidR="008C67D7" w:rsidRPr="0055724C">
        <w:rPr>
          <w:rFonts w:ascii="Arial" w:hAnsi="Arial" w:cs="Arial"/>
        </w:rPr>
        <w:t xml:space="preserve"> than young</w:t>
      </w:r>
      <w:r w:rsidR="00F243EE" w:rsidRPr="0055724C">
        <w:rPr>
          <w:rFonts w:ascii="Arial" w:hAnsi="Arial" w:cs="Arial"/>
        </w:rPr>
        <w:t>. In 2020</w:t>
      </w:r>
      <w:r w:rsidR="003B428C" w:rsidRPr="0055724C">
        <w:rPr>
          <w:rFonts w:ascii="Arial" w:hAnsi="Arial" w:cs="Arial"/>
        </w:rPr>
        <w:t>-</w:t>
      </w:r>
      <w:r w:rsidR="00F243EE" w:rsidRPr="0055724C">
        <w:rPr>
          <w:rFonts w:ascii="Arial" w:hAnsi="Arial" w:cs="Arial"/>
        </w:rPr>
        <w:t>21</w:t>
      </w:r>
      <w:r w:rsidR="00DD79ED" w:rsidRPr="0055724C">
        <w:rPr>
          <w:rFonts w:ascii="Arial" w:hAnsi="Arial" w:cs="Arial"/>
        </w:rPr>
        <w:t xml:space="preserve"> and 2021-22 </w:t>
      </w:r>
      <w:r w:rsidR="003B1EA7" w:rsidRPr="0055724C">
        <w:rPr>
          <w:rFonts w:ascii="Arial" w:hAnsi="Arial" w:cs="Arial"/>
        </w:rPr>
        <w:t>our</w:t>
      </w:r>
      <w:r w:rsidR="00DD79ED" w:rsidRPr="0055724C">
        <w:rPr>
          <w:rFonts w:ascii="Arial" w:hAnsi="Arial" w:cs="Arial"/>
        </w:rPr>
        <w:t xml:space="preserve"> data shows 87.5% </w:t>
      </w:r>
      <w:r w:rsidR="002A1B6A" w:rsidRPr="0055724C">
        <w:rPr>
          <w:rFonts w:ascii="Arial" w:hAnsi="Arial" w:cs="Arial"/>
        </w:rPr>
        <w:t>mature and 12.5% young students to access HE</w:t>
      </w:r>
      <w:r w:rsidR="009C1126" w:rsidRPr="0055724C">
        <w:rPr>
          <w:rFonts w:ascii="Arial" w:hAnsi="Arial" w:cs="Arial"/>
        </w:rPr>
        <w:t xml:space="preserve"> on a part time basis</w:t>
      </w:r>
      <w:r w:rsidR="00497670" w:rsidRPr="0055724C">
        <w:rPr>
          <w:rFonts w:ascii="Arial" w:hAnsi="Arial" w:cs="Arial"/>
        </w:rPr>
        <w:t xml:space="preserve">, with only a 0.1% and 0.4% difference </w:t>
      </w:r>
      <w:r w:rsidR="0017627A" w:rsidRPr="0055724C">
        <w:rPr>
          <w:rFonts w:ascii="Arial" w:hAnsi="Arial" w:cs="Arial"/>
        </w:rPr>
        <w:t>compared to sector-wide data in 2020-21 and 2021-22 respectively.</w:t>
      </w:r>
      <w:r w:rsidR="004A7BCA" w:rsidRPr="0055724C">
        <w:rPr>
          <w:rFonts w:ascii="Arial" w:hAnsi="Arial" w:cs="Arial"/>
        </w:rPr>
        <w:t xml:space="preserve"> </w:t>
      </w:r>
      <w:r w:rsidR="00283579" w:rsidRPr="0055724C">
        <w:rPr>
          <w:rFonts w:ascii="Arial" w:hAnsi="Arial" w:cs="Arial"/>
        </w:rPr>
        <w:t xml:space="preserve">This is also consistent with </w:t>
      </w:r>
      <w:proofErr w:type="spellStart"/>
      <w:r w:rsidR="00283579" w:rsidRPr="0055724C">
        <w:rPr>
          <w:rFonts w:ascii="Arial" w:hAnsi="Arial" w:cs="Arial"/>
        </w:rPr>
        <w:t>OfS</w:t>
      </w:r>
      <w:proofErr w:type="spellEnd"/>
      <w:r w:rsidR="00283579" w:rsidRPr="0055724C">
        <w:rPr>
          <w:rFonts w:ascii="Arial" w:hAnsi="Arial" w:cs="Arial"/>
        </w:rPr>
        <w:t xml:space="preserve"> </w:t>
      </w:r>
      <w:r w:rsidR="00FE50B6" w:rsidRPr="0055724C">
        <w:rPr>
          <w:rFonts w:ascii="Arial" w:hAnsi="Arial" w:cs="Arial"/>
        </w:rPr>
        <w:t>(2021)</w:t>
      </w:r>
      <w:r w:rsidR="00384FED" w:rsidRPr="0055724C">
        <w:rPr>
          <w:rFonts w:ascii="Arial" w:hAnsi="Arial" w:cs="Arial"/>
        </w:rPr>
        <w:t xml:space="preserve">, </w:t>
      </w:r>
      <w:r w:rsidR="00FE50B6" w:rsidRPr="0055724C">
        <w:rPr>
          <w:rFonts w:ascii="Arial" w:hAnsi="Arial" w:cs="Arial"/>
        </w:rPr>
        <w:t>showing how more mature students access HE in FE in</w:t>
      </w:r>
      <w:r w:rsidR="00384FED" w:rsidRPr="0055724C">
        <w:rPr>
          <w:rFonts w:ascii="Arial" w:hAnsi="Arial" w:cs="Arial"/>
        </w:rPr>
        <w:t xml:space="preserve"> institutes compared to young students.</w:t>
      </w:r>
      <w:r w:rsidR="00283579" w:rsidRPr="0055724C">
        <w:rPr>
          <w:rFonts w:ascii="Arial" w:hAnsi="Arial" w:cs="Arial"/>
        </w:rPr>
        <w:t xml:space="preserve"> </w:t>
      </w:r>
    </w:p>
    <w:p w14:paraId="4147E939" w14:textId="2ED0B1ED" w:rsidR="004B7F5D" w:rsidRPr="0055724C" w:rsidRDefault="008C67D7" w:rsidP="00BE796B">
      <w:pPr>
        <w:pStyle w:val="NormalWeb"/>
        <w:spacing w:before="0" w:beforeAutospacing="0" w:after="300" w:afterAutospacing="0"/>
        <w:rPr>
          <w:rFonts w:ascii="Arial" w:hAnsi="Arial" w:cs="Arial"/>
        </w:rPr>
      </w:pPr>
      <w:r w:rsidRPr="0055724C">
        <w:rPr>
          <w:rFonts w:ascii="Arial" w:hAnsi="Arial" w:cs="Arial"/>
        </w:rPr>
        <w:t xml:space="preserve">Yet </w:t>
      </w:r>
      <w:r w:rsidR="002E1609" w:rsidRPr="0055724C">
        <w:rPr>
          <w:rFonts w:ascii="Arial" w:hAnsi="Arial" w:cs="Arial"/>
        </w:rPr>
        <w:t xml:space="preserve">our </w:t>
      </w:r>
      <w:r w:rsidRPr="0055724C">
        <w:rPr>
          <w:rFonts w:ascii="Arial" w:hAnsi="Arial" w:cs="Arial"/>
        </w:rPr>
        <w:t xml:space="preserve">full-time provision has seen a different </w:t>
      </w:r>
      <w:r w:rsidR="00462FB5" w:rsidRPr="0055724C">
        <w:rPr>
          <w:rFonts w:ascii="Arial" w:hAnsi="Arial" w:cs="Arial"/>
        </w:rPr>
        <w:t>picture compared to sector wide data.</w:t>
      </w:r>
      <w:r w:rsidR="00507A7F" w:rsidRPr="0055724C">
        <w:rPr>
          <w:rFonts w:ascii="Arial" w:hAnsi="Arial" w:cs="Arial"/>
        </w:rPr>
        <w:t xml:space="preserve"> Sector-wide data has shown from 2016-17 to </w:t>
      </w:r>
      <w:r w:rsidR="00ED4382" w:rsidRPr="0055724C">
        <w:rPr>
          <w:rFonts w:ascii="Arial" w:hAnsi="Arial" w:cs="Arial"/>
        </w:rPr>
        <w:t xml:space="preserve">2020-21 each year approximately </w:t>
      </w:r>
      <w:r w:rsidR="00280C84" w:rsidRPr="0055724C">
        <w:rPr>
          <w:rFonts w:ascii="Arial" w:hAnsi="Arial" w:cs="Arial"/>
        </w:rPr>
        <w:t>2/3 of students accessing HE are young compared to 1/3 mature.</w:t>
      </w:r>
      <w:r w:rsidR="00D248ED" w:rsidRPr="0055724C">
        <w:rPr>
          <w:rFonts w:ascii="Arial" w:hAnsi="Arial" w:cs="Arial"/>
        </w:rPr>
        <w:t xml:space="preserve"> This may be expected considering the sector to include many </w:t>
      </w:r>
      <w:r w:rsidR="00A83D35" w:rsidRPr="0055724C">
        <w:rPr>
          <w:rFonts w:ascii="Arial" w:hAnsi="Arial" w:cs="Arial"/>
        </w:rPr>
        <w:t xml:space="preserve">traditional </w:t>
      </w:r>
      <w:r w:rsidR="00D248ED" w:rsidRPr="0055724C">
        <w:rPr>
          <w:rFonts w:ascii="Arial" w:hAnsi="Arial" w:cs="Arial"/>
        </w:rPr>
        <w:t>Univer</w:t>
      </w:r>
      <w:r w:rsidR="00410E5D" w:rsidRPr="0055724C">
        <w:rPr>
          <w:rFonts w:ascii="Arial" w:hAnsi="Arial" w:cs="Arial"/>
        </w:rPr>
        <w:t xml:space="preserve">sities. Whereas our </w:t>
      </w:r>
      <w:r w:rsidR="0047226E" w:rsidRPr="0055724C">
        <w:rPr>
          <w:rFonts w:ascii="Arial" w:hAnsi="Arial" w:cs="Arial"/>
        </w:rPr>
        <w:t xml:space="preserve">HE in </w:t>
      </w:r>
      <w:r w:rsidR="00410E5D" w:rsidRPr="0055724C">
        <w:rPr>
          <w:rFonts w:ascii="Arial" w:hAnsi="Arial" w:cs="Arial"/>
        </w:rPr>
        <w:t>FE setting at K</w:t>
      </w:r>
      <w:r w:rsidR="00AD526A" w:rsidRPr="0055724C">
        <w:rPr>
          <w:rFonts w:ascii="Arial" w:hAnsi="Arial" w:cs="Arial"/>
        </w:rPr>
        <w:t>C</w:t>
      </w:r>
      <w:r w:rsidR="00410E5D" w:rsidRPr="0055724C">
        <w:rPr>
          <w:rFonts w:ascii="Arial" w:hAnsi="Arial" w:cs="Arial"/>
        </w:rPr>
        <w:t xml:space="preserve">, </w:t>
      </w:r>
      <w:r w:rsidR="000D693A" w:rsidRPr="0055724C">
        <w:rPr>
          <w:rFonts w:ascii="Arial" w:hAnsi="Arial" w:cs="Arial"/>
        </w:rPr>
        <w:t xml:space="preserve">has experienced much lower </w:t>
      </w:r>
      <w:r w:rsidR="00856B34" w:rsidRPr="0055724C">
        <w:rPr>
          <w:rFonts w:ascii="Arial" w:hAnsi="Arial" w:cs="Arial"/>
        </w:rPr>
        <w:t xml:space="preserve">proportions </w:t>
      </w:r>
      <w:r w:rsidR="000D693A" w:rsidRPr="0055724C">
        <w:rPr>
          <w:rFonts w:ascii="Arial" w:hAnsi="Arial" w:cs="Arial"/>
        </w:rPr>
        <w:t xml:space="preserve">of young students accessing </w:t>
      </w:r>
      <w:r w:rsidR="001E31B3" w:rsidRPr="0055724C">
        <w:rPr>
          <w:rFonts w:ascii="Arial" w:hAnsi="Arial" w:cs="Arial"/>
        </w:rPr>
        <w:t>HE courses</w:t>
      </w:r>
      <w:r w:rsidR="00E72748" w:rsidRPr="0055724C">
        <w:rPr>
          <w:rFonts w:ascii="Arial" w:hAnsi="Arial" w:cs="Arial"/>
        </w:rPr>
        <w:t xml:space="preserve"> from 2016-17 to 2020-21</w:t>
      </w:r>
      <w:r w:rsidR="00265FF5" w:rsidRPr="0055724C">
        <w:rPr>
          <w:rFonts w:ascii="Arial" w:hAnsi="Arial" w:cs="Arial"/>
        </w:rPr>
        <w:t xml:space="preserve"> (betwe</w:t>
      </w:r>
      <w:r w:rsidR="00AD5E2B" w:rsidRPr="0055724C">
        <w:rPr>
          <w:rFonts w:ascii="Arial" w:hAnsi="Arial" w:cs="Arial"/>
        </w:rPr>
        <w:t>en 26.4% and 43.2%)</w:t>
      </w:r>
      <w:r w:rsidR="00856B34" w:rsidRPr="0055724C">
        <w:rPr>
          <w:rFonts w:ascii="Arial" w:hAnsi="Arial" w:cs="Arial"/>
        </w:rPr>
        <w:t xml:space="preserve"> compared to the sector wide picture</w:t>
      </w:r>
      <w:r w:rsidR="00E72748" w:rsidRPr="0055724C">
        <w:rPr>
          <w:rFonts w:ascii="Arial" w:hAnsi="Arial" w:cs="Arial"/>
        </w:rPr>
        <w:t>.</w:t>
      </w:r>
      <w:r w:rsidR="00E6261C" w:rsidRPr="0055724C">
        <w:rPr>
          <w:rFonts w:ascii="Arial" w:hAnsi="Arial" w:cs="Arial"/>
        </w:rPr>
        <w:t xml:space="preserve"> </w:t>
      </w:r>
      <w:r w:rsidR="00BB78E3" w:rsidRPr="0055724C">
        <w:rPr>
          <w:rFonts w:ascii="Arial" w:hAnsi="Arial" w:cs="Arial"/>
        </w:rPr>
        <w:t xml:space="preserve">This may be explained by </w:t>
      </w:r>
      <w:r w:rsidR="008A13AB" w:rsidRPr="0055724C">
        <w:rPr>
          <w:rFonts w:ascii="Arial" w:hAnsi="Arial" w:cs="Arial"/>
        </w:rPr>
        <w:t>the</w:t>
      </w:r>
      <w:r w:rsidR="00E52E5C" w:rsidRPr="0055724C">
        <w:rPr>
          <w:rFonts w:ascii="Arial" w:hAnsi="Arial" w:cs="Arial"/>
        </w:rPr>
        <w:t xml:space="preserve"> more common route</w:t>
      </w:r>
      <w:r w:rsidR="008A13AB" w:rsidRPr="0055724C">
        <w:rPr>
          <w:rFonts w:ascii="Arial" w:hAnsi="Arial" w:cs="Arial"/>
        </w:rPr>
        <w:t xml:space="preserve"> progression of many of our level </w:t>
      </w:r>
      <w:r w:rsidR="00682282" w:rsidRPr="0055724C">
        <w:rPr>
          <w:rFonts w:ascii="Arial" w:hAnsi="Arial" w:cs="Arial"/>
        </w:rPr>
        <w:t xml:space="preserve">3 </w:t>
      </w:r>
      <w:r w:rsidR="008A13AB" w:rsidRPr="0055724C">
        <w:rPr>
          <w:rFonts w:ascii="Arial" w:hAnsi="Arial" w:cs="Arial"/>
        </w:rPr>
        <w:t xml:space="preserve">students to local/national universities. </w:t>
      </w:r>
      <w:r w:rsidR="00E6261C" w:rsidRPr="0055724C">
        <w:rPr>
          <w:rFonts w:ascii="Arial" w:hAnsi="Arial" w:cs="Arial"/>
        </w:rPr>
        <w:t xml:space="preserve">Yet more recently </w:t>
      </w:r>
      <w:r w:rsidR="000C6568" w:rsidRPr="0055724C">
        <w:rPr>
          <w:rFonts w:ascii="Arial" w:hAnsi="Arial" w:cs="Arial"/>
        </w:rPr>
        <w:t xml:space="preserve">(2021-22) </w:t>
      </w:r>
      <w:r w:rsidR="00E6261C" w:rsidRPr="0055724C">
        <w:rPr>
          <w:rFonts w:ascii="Arial" w:hAnsi="Arial" w:cs="Arial"/>
        </w:rPr>
        <w:t>this has aligned more with the sector wide picture</w:t>
      </w:r>
      <w:r w:rsidR="006C56E0" w:rsidRPr="0055724C">
        <w:rPr>
          <w:rFonts w:ascii="Arial" w:hAnsi="Arial" w:cs="Arial"/>
        </w:rPr>
        <w:t xml:space="preserve"> (Kirklees Data</w:t>
      </w:r>
      <w:r w:rsidR="00AB7472" w:rsidRPr="0055724C">
        <w:rPr>
          <w:rFonts w:ascii="Arial" w:hAnsi="Arial" w:cs="Arial"/>
        </w:rPr>
        <w:t>:</w:t>
      </w:r>
      <w:r w:rsidR="006C56E0" w:rsidRPr="0055724C">
        <w:rPr>
          <w:rFonts w:ascii="Arial" w:hAnsi="Arial" w:cs="Arial"/>
        </w:rPr>
        <w:t xml:space="preserve"> young: 71.8% mature: 28.2%</w:t>
      </w:r>
      <w:r w:rsidR="0081512C" w:rsidRPr="0055724C">
        <w:rPr>
          <w:rFonts w:ascii="Arial" w:hAnsi="Arial" w:cs="Arial"/>
        </w:rPr>
        <w:t xml:space="preserve"> Difference</w:t>
      </w:r>
      <w:r w:rsidR="00621E84" w:rsidRPr="0055724C">
        <w:rPr>
          <w:rFonts w:ascii="Arial" w:hAnsi="Arial" w:cs="Arial"/>
        </w:rPr>
        <w:t xml:space="preserve"> to sector</w:t>
      </w:r>
      <w:r w:rsidR="0081512C" w:rsidRPr="0055724C">
        <w:rPr>
          <w:rFonts w:ascii="Arial" w:hAnsi="Arial" w:cs="Arial"/>
        </w:rPr>
        <w:t>: 0.8%)</w:t>
      </w:r>
      <w:r w:rsidR="009C159C" w:rsidRPr="0055724C">
        <w:rPr>
          <w:rFonts w:ascii="Arial" w:hAnsi="Arial" w:cs="Arial"/>
        </w:rPr>
        <w:t>.</w:t>
      </w:r>
      <w:r w:rsidR="00A97470" w:rsidRPr="0055724C">
        <w:rPr>
          <w:rFonts w:ascii="Arial" w:hAnsi="Arial" w:cs="Arial"/>
        </w:rPr>
        <w:t xml:space="preserve"> </w:t>
      </w:r>
      <w:r w:rsidR="00923A69" w:rsidRPr="0055724C">
        <w:rPr>
          <w:rFonts w:ascii="Arial" w:hAnsi="Arial" w:cs="Arial"/>
        </w:rPr>
        <w:t xml:space="preserve">Yet data is </w:t>
      </w:r>
      <w:r w:rsidR="00255C65" w:rsidRPr="0055724C">
        <w:rPr>
          <w:rFonts w:ascii="Arial" w:hAnsi="Arial" w:cs="Arial"/>
        </w:rPr>
        <w:t xml:space="preserve">interpreted cautiously due to the low numbers of our HE </w:t>
      </w:r>
      <w:proofErr w:type="gramStart"/>
      <w:r w:rsidR="00255C65" w:rsidRPr="0055724C">
        <w:rPr>
          <w:rFonts w:ascii="Arial" w:hAnsi="Arial" w:cs="Arial"/>
        </w:rPr>
        <w:t>provision</w:t>
      </w:r>
      <w:proofErr w:type="gramEnd"/>
      <w:r w:rsidR="00255C65" w:rsidRPr="0055724C">
        <w:rPr>
          <w:rFonts w:ascii="Arial" w:hAnsi="Arial" w:cs="Arial"/>
        </w:rPr>
        <w:t>.</w:t>
      </w:r>
      <w:r w:rsidR="00DB5F14" w:rsidRPr="0055724C">
        <w:rPr>
          <w:rFonts w:ascii="Arial" w:hAnsi="Arial" w:cs="Arial"/>
        </w:rPr>
        <w:t xml:space="preserve"> </w:t>
      </w:r>
    </w:p>
    <w:p w14:paraId="54457DFA" w14:textId="1364EE07" w:rsidR="000977EA" w:rsidRPr="00B46382" w:rsidRDefault="00EC458E" w:rsidP="00BE796B">
      <w:pPr>
        <w:pStyle w:val="NormalWeb"/>
        <w:spacing w:before="0" w:beforeAutospacing="0" w:after="300" w:afterAutospacing="0"/>
        <w:rPr>
          <w:rFonts w:ascii="Arial" w:hAnsi="Arial" w:cs="Arial"/>
          <w:color w:val="333333"/>
        </w:rPr>
      </w:pPr>
      <w:r w:rsidRPr="0055724C">
        <w:rPr>
          <w:rFonts w:ascii="Arial" w:hAnsi="Arial" w:cs="Arial"/>
        </w:rPr>
        <w:t xml:space="preserve">We are aware that access to HE </w:t>
      </w:r>
      <w:r w:rsidR="00452C8F" w:rsidRPr="0055724C">
        <w:rPr>
          <w:rFonts w:ascii="Arial" w:hAnsi="Arial" w:cs="Arial"/>
        </w:rPr>
        <w:t>for</w:t>
      </w:r>
      <w:r w:rsidRPr="0055724C">
        <w:rPr>
          <w:rFonts w:ascii="Arial" w:hAnsi="Arial" w:cs="Arial"/>
        </w:rPr>
        <w:t xml:space="preserve"> </w:t>
      </w:r>
      <w:r w:rsidR="00452C8F" w:rsidRPr="0055724C">
        <w:rPr>
          <w:rFonts w:ascii="Arial" w:hAnsi="Arial" w:cs="Arial"/>
        </w:rPr>
        <w:t xml:space="preserve">young </w:t>
      </w:r>
      <w:r w:rsidRPr="0055724C">
        <w:rPr>
          <w:rFonts w:ascii="Arial" w:hAnsi="Arial" w:cs="Arial"/>
        </w:rPr>
        <w:t>students</w:t>
      </w:r>
      <w:r w:rsidR="00452C8F" w:rsidRPr="0055724C">
        <w:rPr>
          <w:rFonts w:ascii="Arial" w:hAnsi="Arial" w:cs="Arial"/>
        </w:rPr>
        <w:t xml:space="preserve"> </w:t>
      </w:r>
      <w:r w:rsidRPr="0055724C">
        <w:rPr>
          <w:rFonts w:ascii="Arial" w:hAnsi="Arial" w:cs="Arial"/>
        </w:rPr>
        <w:t xml:space="preserve">on a </w:t>
      </w:r>
      <w:r w:rsidR="0074647E" w:rsidRPr="0055724C">
        <w:rPr>
          <w:rFonts w:ascii="Arial" w:hAnsi="Arial" w:cs="Arial"/>
        </w:rPr>
        <w:t>‘</w:t>
      </w:r>
      <w:r w:rsidRPr="0055724C">
        <w:rPr>
          <w:rFonts w:ascii="Arial" w:hAnsi="Arial" w:cs="Arial"/>
        </w:rPr>
        <w:t>part-time</w:t>
      </w:r>
      <w:r w:rsidR="0074647E" w:rsidRPr="0055724C">
        <w:rPr>
          <w:rFonts w:ascii="Arial" w:hAnsi="Arial" w:cs="Arial"/>
        </w:rPr>
        <w:t>’</w:t>
      </w:r>
      <w:r w:rsidRPr="0055724C">
        <w:rPr>
          <w:rFonts w:ascii="Arial" w:hAnsi="Arial" w:cs="Arial"/>
        </w:rPr>
        <w:t xml:space="preserve"> basis may serve as valid evidence-based performance target. Yet </w:t>
      </w:r>
      <w:r w:rsidR="00452C8F" w:rsidRPr="0055724C">
        <w:rPr>
          <w:rFonts w:ascii="Arial" w:hAnsi="Arial" w:cs="Arial"/>
        </w:rPr>
        <w:t xml:space="preserve">again, </w:t>
      </w:r>
      <w:r w:rsidRPr="0055724C">
        <w:rPr>
          <w:rFonts w:ascii="Arial" w:hAnsi="Arial" w:cs="Arial"/>
        </w:rPr>
        <w:t xml:space="preserve">we have chosen to focus on supporting the quality of our HE </w:t>
      </w:r>
      <w:proofErr w:type="gramStart"/>
      <w:r w:rsidRPr="0055724C">
        <w:rPr>
          <w:rFonts w:ascii="Arial" w:hAnsi="Arial" w:cs="Arial"/>
        </w:rPr>
        <w:t>provision</w:t>
      </w:r>
      <w:proofErr w:type="gramEnd"/>
      <w:r w:rsidRPr="0055724C">
        <w:rPr>
          <w:rFonts w:ascii="Arial" w:hAnsi="Arial" w:cs="Arial"/>
        </w:rPr>
        <w:t xml:space="preserve"> within this 4-year APP, in terms of </w:t>
      </w:r>
      <w:r w:rsidRPr="00B46382">
        <w:rPr>
          <w:rFonts w:ascii="Arial" w:hAnsi="Arial" w:cs="Arial"/>
          <w:color w:val="333333"/>
        </w:rPr>
        <w:lastRenderedPageBreak/>
        <w:t xml:space="preserve">reducing the achievement gap between </w:t>
      </w:r>
      <w:r w:rsidR="00876881" w:rsidRPr="00B46382">
        <w:rPr>
          <w:rFonts w:ascii="Arial" w:hAnsi="Arial" w:cs="Arial"/>
          <w:color w:val="333333"/>
        </w:rPr>
        <w:t>young and mature students</w:t>
      </w:r>
      <w:r w:rsidRPr="00B46382">
        <w:rPr>
          <w:rFonts w:ascii="Arial" w:hAnsi="Arial" w:cs="Arial"/>
          <w:color w:val="333333"/>
        </w:rPr>
        <w:t xml:space="preserve">. </w:t>
      </w:r>
      <w:r w:rsidR="008B34CE" w:rsidRPr="00B46382">
        <w:rPr>
          <w:rFonts w:ascii="Arial" w:hAnsi="Arial" w:cs="Arial"/>
          <w:color w:val="333333"/>
        </w:rPr>
        <w:t xml:space="preserve">Although, </w:t>
      </w:r>
      <w:r w:rsidRPr="00B46382">
        <w:rPr>
          <w:rFonts w:ascii="Arial" w:hAnsi="Arial" w:cs="Arial"/>
          <w:color w:val="333333"/>
        </w:rPr>
        <w:t xml:space="preserve">we believe that some of the planned intervention activities </w:t>
      </w:r>
      <w:r w:rsidR="00567BAE" w:rsidRPr="00B46382">
        <w:rPr>
          <w:rFonts w:ascii="Arial" w:hAnsi="Arial" w:cs="Arial"/>
          <w:color w:val="333333"/>
        </w:rPr>
        <w:t>(</w:t>
      </w:r>
      <w:r w:rsidR="0023615F" w:rsidRPr="00B46382">
        <w:rPr>
          <w:rFonts w:ascii="Arial" w:hAnsi="Arial" w:cs="Arial"/>
          <w:color w:val="333333"/>
        </w:rPr>
        <w:t xml:space="preserve">i.e. Personal Development Tutor </w:t>
      </w:r>
      <w:r w:rsidR="00567BAE" w:rsidRPr="00B46382">
        <w:rPr>
          <w:rFonts w:ascii="Arial" w:hAnsi="Arial" w:cs="Arial"/>
          <w:color w:val="333333"/>
        </w:rPr>
        <w:t xml:space="preserve">sessions) </w:t>
      </w:r>
      <w:r w:rsidRPr="00B46382">
        <w:rPr>
          <w:rFonts w:ascii="Arial" w:hAnsi="Arial" w:cs="Arial"/>
          <w:color w:val="333333"/>
        </w:rPr>
        <w:t>although aim to reduce this achievement gap</w:t>
      </w:r>
      <w:r w:rsidR="00876881" w:rsidRPr="00B46382">
        <w:rPr>
          <w:rFonts w:ascii="Arial" w:hAnsi="Arial" w:cs="Arial"/>
          <w:color w:val="333333"/>
        </w:rPr>
        <w:t xml:space="preserve"> between this demographic,</w:t>
      </w:r>
      <w:r w:rsidRPr="00B46382">
        <w:rPr>
          <w:rFonts w:ascii="Arial" w:hAnsi="Arial" w:cs="Arial"/>
          <w:color w:val="333333"/>
        </w:rPr>
        <w:t xml:space="preserve"> will also have a positive impact on increasing access to HE </w:t>
      </w:r>
      <w:r w:rsidR="000265DE" w:rsidRPr="00B46382">
        <w:rPr>
          <w:rFonts w:ascii="Arial" w:hAnsi="Arial" w:cs="Arial"/>
          <w:color w:val="333333"/>
        </w:rPr>
        <w:t>part-time students, particularly considering the growth of our more flexible HTQ programmes</w:t>
      </w:r>
      <w:r w:rsidR="003C74E8" w:rsidRPr="00B46382">
        <w:rPr>
          <w:rFonts w:ascii="Arial" w:hAnsi="Arial" w:cs="Arial"/>
          <w:color w:val="333333"/>
        </w:rPr>
        <w:t>.</w:t>
      </w:r>
    </w:p>
    <w:p w14:paraId="1D36F6DD" w14:textId="64AB1662" w:rsidR="00BE796B" w:rsidRPr="00B46382" w:rsidRDefault="0055724C" w:rsidP="0055724C">
      <w:pPr>
        <w:pStyle w:val="Heading3"/>
      </w:pPr>
      <w:r>
        <w:t xml:space="preserve">9.3 </w:t>
      </w:r>
      <w:r w:rsidR="00BE796B" w:rsidRPr="00B46382">
        <w:t xml:space="preserve">Ethnicity </w:t>
      </w:r>
    </w:p>
    <w:p w14:paraId="00508D02" w14:textId="4BC9E429" w:rsidR="009D5453" w:rsidRPr="00B46382" w:rsidRDefault="00BE796B" w:rsidP="00BE796B">
      <w:pPr>
        <w:pStyle w:val="NormalWeb"/>
        <w:spacing w:before="0" w:beforeAutospacing="0" w:after="300" w:afterAutospacing="0"/>
        <w:rPr>
          <w:rFonts w:ascii="Arial" w:hAnsi="Arial" w:cs="Arial"/>
          <w:color w:val="333333"/>
        </w:rPr>
      </w:pPr>
      <w:r w:rsidRPr="00B46382">
        <w:rPr>
          <w:rFonts w:ascii="Arial" w:hAnsi="Arial" w:cs="Arial"/>
          <w:color w:val="333333"/>
        </w:rPr>
        <w:t>We are aware that Black Asian and minority ethnic (BAME) students are an under-represented group that provide a risk of equal opportunity for access and participation in HE</w:t>
      </w:r>
      <w:r w:rsidR="00390C97" w:rsidRPr="00B46382">
        <w:rPr>
          <w:rFonts w:ascii="Arial" w:hAnsi="Arial" w:cs="Arial"/>
          <w:color w:val="333333"/>
        </w:rPr>
        <w:t xml:space="preserve"> (EORR)</w:t>
      </w:r>
      <w:r w:rsidRPr="00B46382">
        <w:rPr>
          <w:rFonts w:ascii="Arial" w:hAnsi="Arial" w:cs="Arial"/>
          <w:color w:val="333333"/>
        </w:rPr>
        <w:t xml:space="preserve">. </w:t>
      </w:r>
      <w:r w:rsidR="00AA700B" w:rsidRPr="00B46382">
        <w:rPr>
          <w:rFonts w:ascii="Arial" w:hAnsi="Arial" w:cs="Arial"/>
          <w:color w:val="333333"/>
        </w:rPr>
        <w:t xml:space="preserve">The </w:t>
      </w:r>
      <w:r w:rsidR="00510CE4" w:rsidRPr="00B46382">
        <w:rPr>
          <w:rFonts w:ascii="Arial" w:hAnsi="Arial" w:cs="Arial"/>
          <w:color w:val="333333"/>
        </w:rPr>
        <w:t>HE success/achievement</w:t>
      </w:r>
      <w:r w:rsidR="004F5EC1" w:rsidRPr="00B46382">
        <w:rPr>
          <w:rFonts w:ascii="Arial" w:hAnsi="Arial" w:cs="Arial"/>
          <w:color w:val="333333"/>
        </w:rPr>
        <w:t xml:space="preserve"> gap between white and black </w:t>
      </w:r>
      <w:r w:rsidR="00190D45" w:rsidRPr="00B46382">
        <w:rPr>
          <w:rFonts w:ascii="Arial" w:hAnsi="Arial" w:cs="Arial"/>
          <w:color w:val="333333"/>
        </w:rPr>
        <w:t>is widely recognised (</w:t>
      </w:r>
      <w:r w:rsidR="00190D45" w:rsidRPr="00B46382">
        <w:rPr>
          <w:rFonts w:ascii="Arial" w:hAnsi="Arial" w:cs="Arial"/>
        </w:rPr>
        <w:t>UUK &amp; NUS, 2019</w:t>
      </w:r>
      <w:r w:rsidR="00510CE4" w:rsidRPr="00B46382">
        <w:rPr>
          <w:rFonts w:ascii="Arial" w:hAnsi="Arial" w:cs="Arial"/>
        </w:rPr>
        <w:t>; TASO, 2023</w:t>
      </w:r>
      <w:r w:rsidR="00190D45" w:rsidRPr="00B46382">
        <w:rPr>
          <w:rFonts w:ascii="Arial" w:hAnsi="Arial" w:cs="Arial"/>
        </w:rPr>
        <w:t>)</w:t>
      </w:r>
      <w:r w:rsidR="003B0052" w:rsidRPr="00B46382">
        <w:rPr>
          <w:rFonts w:ascii="Arial" w:hAnsi="Arial" w:cs="Arial"/>
        </w:rPr>
        <w:t>.</w:t>
      </w:r>
      <w:r w:rsidR="00190D45" w:rsidRPr="00B46382">
        <w:rPr>
          <w:rFonts w:ascii="Arial" w:hAnsi="Arial" w:cs="Arial"/>
        </w:rPr>
        <w:t xml:space="preserve"> </w:t>
      </w:r>
      <w:r w:rsidRPr="00B46382">
        <w:rPr>
          <w:rFonts w:ascii="Arial" w:hAnsi="Arial" w:cs="Arial"/>
          <w:color w:val="333333"/>
        </w:rPr>
        <w:t xml:space="preserve">Our summary and analysis of our </w:t>
      </w:r>
      <w:r w:rsidR="00390C97" w:rsidRPr="00B46382">
        <w:rPr>
          <w:rFonts w:ascii="Arial" w:hAnsi="Arial" w:cs="Arial"/>
          <w:color w:val="333333"/>
        </w:rPr>
        <w:t xml:space="preserve">internal </w:t>
      </w:r>
      <w:r w:rsidRPr="00B46382">
        <w:rPr>
          <w:rFonts w:ascii="Arial" w:hAnsi="Arial" w:cs="Arial"/>
          <w:color w:val="333333"/>
        </w:rPr>
        <w:t xml:space="preserve">data shows a 5-year trend from 2018/19 to 2022/23 whereby </w:t>
      </w:r>
      <w:r w:rsidR="0024353D" w:rsidRPr="00B46382">
        <w:rPr>
          <w:rFonts w:ascii="Arial" w:hAnsi="Arial" w:cs="Arial"/>
          <w:color w:val="333333"/>
        </w:rPr>
        <w:t>w</w:t>
      </w:r>
      <w:r w:rsidRPr="00B46382">
        <w:rPr>
          <w:rFonts w:ascii="Arial" w:hAnsi="Arial" w:cs="Arial"/>
          <w:color w:val="333333"/>
        </w:rPr>
        <w:t>hite students have consistently higher achievement than black Asian and minority ethnic (BAME) students</w:t>
      </w:r>
      <w:r w:rsidR="00E77EC0" w:rsidRPr="00B46382">
        <w:rPr>
          <w:rFonts w:ascii="Arial" w:hAnsi="Arial" w:cs="Arial"/>
        </w:rPr>
        <w:t>.</w:t>
      </w:r>
      <w:r w:rsidRPr="00B46382">
        <w:rPr>
          <w:rFonts w:ascii="Arial" w:hAnsi="Arial" w:cs="Arial"/>
          <w:color w:val="333333"/>
        </w:rPr>
        <w:t xml:space="preserve"> </w:t>
      </w:r>
      <w:r w:rsidR="00900942" w:rsidRPr="00B46382">
        <w:rPr>
          <w:rFonts w:ascii="Arial" w:hAnsi="Arial" w:cs="Arial"/>
          <w:color w:val="333333"/>
        </w:rPr>
        <w:t>Though</w:t>
      </w:r>
      <w:r w:rsidRPr="00B46382">
        <w:rPr>
          <w:rFonts w:ascii="Arial" w:hAnsi="Arial" w:cs="Arial"/>
          <w:color w:val="333333"/>
        </w:rPr>
        <w:t xml:space="preserve"> the numbers of BAME students is too small to draw any firm conclusions, the </w:t>
      </w:r>
      <w:r w:rsidR="00621BA7" w:rsidRPr="00B46382">
        <w:rPr>
          <w:rFonts w:ascii="Arial" w:hAnsi="Arial" w:cs="Arial"/>
          <w:color w:val="333333"/>
        </w:rPr>
        <w:t xml:space="preserve">achievement </w:t>
      </w:r>
      <w:r w:rsidRPr="00B46382">
        <w:rPr>
          <w:rFonts w:ascii="Arial" w:hAnsi="Arial" w:cs="Arial"/>
          <w:color w:val="333333"/>
        </w:rPr>
        <w:t>gap between these two groups is narrowing.</w:t>
      </w:r>
      <w:r w:rsidR="006A3253" w:rsidRPr="00B46382">
        <w:rPr>
          <w:rFonts w:ascii="Arial" w:hAnsi="Arial" w:cs="Arial"/>
          <w:color w:val="333333"/>
        </w:rPr>
        <w:t xml:space="preserve"> </w:t>
      </w:r>
      <w:r w:rsidR="001F32A3" w:rsidRPr="00B46382">
        <w:rPr>
          <w:rFonts w:ascii="Arial" w:hAnsi="Arial" w:cs="Arial"/>
          <w:color w:val="333333"/>
        </w:rPr>
        <w:t>Specifically</w:t>
      </w:r>
      <w:r w:rsidR="00621BA7" w:rsidRPr="00B46382">
        <w:rPr>
          <w:rFonts w:ascii="Arial" w:hAnsi="Arial" w:cs="Arial"/>
          <w:color w:val="333333"/>
        </w:rPr>
        <w:t>,</w:t>
      </w:r>
      <w:r w:rsidR="001F32A3" w:rsidRPr="00B46382">
        <w:rPr>
          <w:rFonts w:ascii="Arial" w:hAnsi="Arial" w:cs="Arial"/>
          <w:color w:val="333333"/>
        </w:rPr>
        <w:t xml:space="preserve"> </w:t>
      </w:r>
      <w:r w:rsidR="002557E1" w:rsidRPr="00B46382">
        <w:rPr>
          <w:rFonts w:ascii="Arial" w:hAnsi="Arial" w:cs="Arial"/>
          <w:color w:val="333333"/>
        </w:rPr>
        <w:t xml:space="preserve">since </w:t>
      </w:r>
      <w:r w:rsidR="00577B05" w:rsidRPr="00B46382">
        <w:rPr>
          <w:rFonts w:ascii="Arial" w:hAnsi="Arial" w:cs="Arial"/>
          <w:color w:val="333333"/>
        </w:rPr>
        <w:t>2019/20 to</w:t>
      </w:r>
      <w:r w:rsidR="006A3253" w:rsidRPr="00B46382">
        <w:rPr>
          <w:rFonts w:ascii="Arial" w:hAnsi="Arial" w:cs="Arial"/>
          <w:color w:val="333333"/>
        </w:rPr>
        <w:t xml:space="preserve"> </w:t>
      </w:r>
      <w:r w:rsidR="001F32A3" w:rsidRPr="00B46382">
        <w:rPr>
          <w:rFonts w:ascii="Arial" w:hAnsi="Arial" w:cs="Arial"/>
          <w:color w:val="333333"/>
        </w:rPr>
        <w:t xml:space="preserve">2022/23 the achievement gap </w:t>
      </w:r>
      <w:r w:rsidR="00577B05" w:rsidRPr="00B46382">
        <w:rPr>
          <w:rFonts w:ascii="Arial" w:hAnsi="Arial" w:cs="Arial"/>
          <w:color w:val="333333"/>
        </w:rPr>
        <w:t>has reduced from 33.8% to 8.7%</w:t>
      </w:r>
      <w:r w:rsidR="001F32A3" w:rsidRPr="00B46382">
        <w:rPr>
          <w:rFonts w:ascii="Arial" w:hAnsi="Arial" w:cs="Arial"/>
          <w:color w:val="333333"/>
        </w:rPr>
        <w:t>.</w:t>
      </w:r>
      <w:r w:rsidR="00577B05" w:rsidRPr="00B46382">
        <w:rPr>
          <w:rFonts w:ascii="Arial" w:hAnsi="Arial" w:cs="Arial"/>
          <w:color w:val="333333"/>
        </w:rPr>
        <w:t xml:space="preserve"> </w:t>
      </w:r>
      <w:r w:rsidR="00E05343" w:rsidRPr="00B46382">
        <w:rPr>
          <w:rFonts w:ascii="Arial" w:hAnsi="Arial" w:cs="Arial"/>
          <w:color w:val="333333"/>
        </w:rPr>
        <w:t>Due to the continual reduction in percentage achievement</w:t>
      </w:r>
      <w:r w:rsidR="00621BA7" w:rsidRPr="00B46382">
        <w:rPr>
          <w:rFonts w:ascii="Arial" w:hAnsi="Arial" w:cs="Arial"/>
          <w:color w:val="333333"/>
        </w:rPr>
        <w:t xml:space="preserve"> over this time,</w:t>
      </w:r>
      <w:r w:rsidR="00E05343" w:rsidRPr="00B46382">
        <w:rPr>
          <w:rFonts w:ascii="Arial" w:hAnsi="Arial" w:cs="Arial"/>
          <w:color w:val="333333"/>
        </w:rPr>
        <w:t xml:space="preserve"> ethnicity has not been </w:t>
      </w:r>
      <w:r w:rsidR="001B2D28" w:rsidRPr="00B46382">
        <w:rPr>
          <w:rFonts w:ascii="Arial" w:hAnsi="Arial" w:cs="Arial"/>
          <w:color w:val="333333"/>
        </w:rPr>
        <w:t xml:space="preserve">considered </w:t>
      </w:r>
      <w:r w:rsidR="00860649" w:rsidRPr="00B46382">
        <w:rPr>
          <w:rFonts w:ascii="Arial" w:hAnsi="Arial" w:cs="Arial"/>
          <w:color w:val="333333"/>
        </w:rPr>
        <w:t xml:space="preserve">a </w:t>
      </w:r>
      <w:r w:rsidR="001B2D28" w:rsidRPr="00B46382">
        <w:rPr>
          <w:rFonts w:ascii="Arial" w:hAnsi="Arial" w:cs="Arial"/>
          <w:color w:val="333333"/>
        </w:rPr>
        <w:t>target in th</w:t>
      </w:r>
      <w:r w:rsidR="00873F9E" w:rsidRPr="00B46382">
        <w:rPr>
          <w:rFonts w:ascii="Arial" w:hAnsi="Arial" w:cs="Arial"/>
          <w:color w:val="333333"/>
        </w:rPr>
        <w:t>is</w:t>
      </w:r>
      <w:r w:rsidR="001B2D28" w:rsidRPr="00B46382">
        <w:rPr>
          <w:rFonts w:ascii="Arial" w:hAnsi="Arial" w:cs="Arial"/>
          <w:color w:val="333333"/>
        </w:rPr>
        <w:t xml:space="preserve"> APP.</w:t>
      </w:r>
      <w:r w:rsidR="00782105" w:rsidRPr="00B46382">
        <w:rPr>
          <w:rFonts w:ascii="Arial" w:hAnsi="Arial" w:cs="Arial"/>
          <w:color w:val="333333"/>
        </w:rPr>
        <w:t xml:space="preserve"> Despite this, BAME students will also continue to benefit from the </w:t>
      </w:r>
      <w:r w:rsidR="000F52EB" w:rsidRPr="00B46382">
        <w:rPr>
          <w:rFonts w:ascii="Arial" w:hAnsi="Arial" w:cs="Arial"/>
          <w:color w:val="333333"/>
        </w:rPr>
        <w:t xml:space="preserve">planned </w:t>
      </w:r>
      <w:r w:rsidR="00782105" w:rsidRPr="00B46382">
        <w:rPr>
          <w:rFonts w:ascii="Arial" w:hAnsi="Arial" w:cs="Arial"/>
          <w:color w:val="333333"/>
        </w:rPr>
        <w:t>theory of change interventions.</w:t>
      </w:r>
    </w:p>
    <w:p w14:paraId="1A5C4D39" w14:textId="3A4C2959" w:rsidR="000B71D2" w:rsidRPr="00B46382" w:rsidRDefault="00E67A13" w:rsidP="00BE796B">
      <w:pPr>
        <w:pStyle w:val="NormalWeb"/>
        <w:spacing w:before="0" w:beforeAutospacing="0" w:after="300" w:afterAutospacing="0"/>
        <w:rPr>
          <w:rFonts w:ascii="Arial" w:hAnsi="Arial" w:cs="Arial"/>
          <w:color w:val="333333"/>
        </w:rPr>
      </w:pPr>
      <w:r w:rsidRPr="00B46382">
        <w:rPr>
          <w:rFonts w:ascii="Arial" w:hAnsi="Arial" w:cs="Arial"/>
          <w:color w:val="333333"/>
        </w:rPr>
        <w:t>Although our numbers are too small to draw firm conclusions</w:t>
      </w:r>
      <w:r w:rsidR="00533FBA" w:rsidRPr="00B46382">
        <w:rPr>
          <w:rFonts w:ascii="Arial" w:hAnsi="Arial" w:cs="Arial"/>
          <w:color w:val="333333"/>
        </w:rPr>
        <w:t xml:space="preserve">, a </w:t>
      </w:r>
      <w:r w:rsidR="00F375E0" w:rsidRPr="00B46382">
        <w:rPr>
          <w:rFonts w:ascii="Arial" w:hAnsi="Arial" w:cs="Arial"/>
          <w:color w:val="333333"/>
        </w:rPr>
        <w:t>comparison analysis has been performed</w:t>
      </w:r>
      <w:r w:rsidR="00C27267" w:rsidRPr="00B46382">
        <w:rPr>
          <w:rFonts w:ascii="Arial" w:hAnsi="Arial" w:cs="Arial"/>
          <w:color w:val="333333"/>
        </w:rPr>
        <w:t xml:space="preserve"> </w:t>
      </w:r>
      <w:r w:rsidR="00AF55E6" w:rsidRPr="00B46382">
        <w:rPr>
          <w:rFonts w:ascii="Arial" w:hAnsi="Arial" w:cs="Arial"/>
          <w:color w:val="333333"/>
        </w:rPr>
        <w:t>looking at sector-wide and K</w:t>
      </w:r>
      <w:r w:rsidR="0062074B" w:rsidRPr="00B46382">
        <w:rPr>
          <w:rFonts w:ascii="Arial" w:hAnsi="Arial" w:cs="Arial"/>
          <w:color w:val="333333"/>
        </w:rPr>
        <w:t>C</w:t>
      </w:r>
      <w:r w:rsidR="00AF55E6" w:rsidRPr="00B46382">
        <w:rPr>
          <w:rFonts w:ascii="Arial" w:hAnsi="Arial" w:cs="Arial"/>
          <w:color w:val="333333"/>
        </w:rPr>
        <w:t xml:space="preserve"> specific </w:t>
      </w:r>
      <w:r w:rsidR="002E68D4" w:rsidRPr="00B46382">
        <w:rPr>
          <w:rFonts w:ascii="Arial" w:hAnsi="Arial" w:cs="Arial"/>
          <w:color w:val="333333"/>
        </w:rPr>
        <w:t>a</w:t>
      </w:r>
      <w:r w:rsidR="00AF55E6" w:rsidRPr="00B46382">
        <w:rPr>
          <w:rFonts w:ascii="Arial" w:hAnsi="Arial" w:cs="Arial"/>
          <w:color w:val="333333"/>
        </w:rPr>
        <w:t>ccess data</w:t>
      </w:r>
      <w:r w:rsidR="00E872C3" w:rsidRPr="00B46382">
        <w:rPr>
          <w:rFonts w:ascii="Arial" w:hAnsi="Arial" w:cs="Arial"/>
          <w:color w:val="333333"/>
        </w:rPr>
        <w:t xml:space="preserve">. In terms of ethnicity, </w:t>
      </w:r>
      <w:r w:rsidR="002D0ACA" w:rsidRPr="00B46382">
        <w:rPr>
          <w:rFonts w:ascii="Arial" w:hAnsi="Arial" w:cs="Arial"/>
          <w:color w:val="333333"/>
        </w:rPr>
        <w:t xml:space="preserve">from </w:t>
      </w:r>
      <w:r w:rsidR="0002375A" w:rsidRPr="00B46382">
        <w:rPr>
          <w:rFonts w:ascii="Arial" w:hAnsi="Arial" w:cs="Arial"/>
          <w:color w:val="333333"/>
        </w:rPr>
        <w:t xml:space="preserve">2018-19 to 2021-22 </w:t>
      </w:r>
      <w:r w:rsidR="0046499D" w:rsidRPr="00B46382">
        <w:rPr>
          <w:rFonts w:ascii="Arial" w:hAnsi="Arial" w:cs="Arial"/>
          <w:color w:val="333333"/>
        </w:rPr>
        <w:t>our</w:t>
      </w:r>
      <w:r w:rsidR="006F32C5" w:rsidRPr="00B46382">
        <w:rPr>
          <w:rFonts w:ascii="Arial" w:hAnsi="Arial" w:cs="Arial"/>
          <w:color w:val="333333"/>
        </w:rPr>
        <w:t xml:space="preserve"> data has evidenced a</w:t>
      </w:r>
      <w:r w:rsidR="009C1425" w:rsidRPr="00B46382">
        <w:rPr>
          <w:rFonts w:ascii="Arial" w:hAnsi="Arial" w:cs="Arial"/>
          <w:color w:val="333333"/>
        </w:rPr>
        <w:t xml:space="preserve"> </w:t>
      </w:r>
      <w:r w:rsidR="005745A4" w:rsidRPr="00B46382">
        <w:rPr>
          <w:rFonts w:ascii="Arial" w:hAnsi="Arial" w:cs="Arial"/>
          <w:color w:val="333333"/>
        </w:rPr>
        <w:t>4</w:t>
      </w:r>
      <w:r w:rsidR="009C1425" w:rsidRPr="00B46382">
        <w:rPr>
          <w:rFonts w:ascii="Arial" w:hAnsi="Arial" w:cs="Arial"/>
          <w:color w:val="333333"/>
        </w:rPr>
        <w:t>%</w:t>
      </w:r>
      <w:r w:rsidR="006F32C5" w:rsidRPr="00B46382">
        <w:rPr>
          <w:rFonts w:ascii="Arial" w:hAnsi="Arial" w:cs="Arial"/>
          <w:color w:val="333333"/>
        </w:rPr>
        <w:t xml:space="preserve"> increase in </w:t>
      </w:r>
      <w:r w:rsidR="00A038CC" w:rsidRPr="00B46382">
        <w:rPr>
          <w:rFonts w:ascii="Arial" w:hAnsi="Arial" w:cs="Arial"/>
          <w:color w:val="333333"/>
        </w:rPr>
        <w:t xml:space="preserve">BAME </w:t>
      </w:r>
      <w:r w:rsidR="006F32C5" w:rsidRPr="00B46382">
        <w:rPr>
          <w:rFonts w:ascii="Arial" w:hAnsi="Arial" w:cs="Arial"/>
          <w:color w:val="333333"/>
        </w:rPr>
        <w:t xml:space="preserve">students </w:t>
      </w:r>
      <w:r w:rsidR="006B14DA" w:rsidRPr="00B46382">
        <w:rPr>
          <w:rFonts w:ascii="Arial" w:hAnsi="Arial" w:cs="Arial"/>
          <w:color w:val="333333"/>
        </w:rPr>
        <w:t xml:space="preserve">accessing HE </w:t>
      </w:r>
      <w:r w:rsidR="00E5147F" w:rsidRPr="00B46382">
        <w:rPr>
          <w:rFonts w:ascii="Arial" w:hAnsi="Arial" w:cs="Arial"/>
          <w:color w:val="333333"/>
        </w:rPr>
        <w:t xml:space="preserve">on a </w:t>
      </w:r>
      <w:r w:rsidR="009D3500" w:rsidRPr="00B46382">
        <w:rPr>
          <w:rFonts w:ascii="Arial" w:hAnsi="Arial" w:cs="Arial"/>
          <w:color w:val="333333"/>
        </w:rPr>
        <w:t>‘</w:t>
      </w:r>
      <w:r w:rsidR="00E5147F" w:rsidRPr="00B46382">
        <w:rPr>
          <w:rFonts w:ascii="Arial" w:hAnsi="Arial" w:cs="Arial"/>
          <w:color w:val="333333"/>
        </w:rPr>
        <w:t>part-time</w:t>
      </w:r>
      <w:r w:rsidR="009D3500" w:rsidRPr="00B46382">
        <w:rPr>
          <w:rFonts w:ascii="Arial" w:hAnsi="Arial" w:cs="Arial"/>
          <w:color w:val="333333"/>
        </w:rPr>
        <w:t>’</w:t>
      </w:r>
      <w:r w:rsidR="00E5147F" w:rsidRPr="00B46382">
        <w:rPr>
          <w:rFonts w:ascii="Arial" w:hAnsi="Arial" w:cs="Arial"/>
          <w:color w:val="333333"/>
        </w:rPr>
        <w:t xml:space="preserve"> basis </w:t>
      </w:r>
      <w:r w:rsidR="000B350D" w:rsidRPr="00B46382">
        <w:rPr>
          <w:rFonts w:ascii="Arial" w:hAnsi="Arial" w:cs="Arial"/>
          <w:color w:val="333333"/>
        </w:rPr>
        <w:t>f</w:t>
      </w:r>
      <w:r w:rsidR="00A038CC" w:rsidRPr="00B46382">
        <w:rPr>
          <w:rFonts w:ascii="Arial" w:hAnsi="Arial" w:cs="Arial"/>
          <w:color w:val="333333"/>
        </w:rPr>
        <w:t xml:space="preserve">rom </w:t>
      </w:r>
      <w:r w:rsidR="000057C5" w:rsidRPr="00B46382">
        <w:rPr>
          <w:rFonts w:ascii="Arial" w:hAnsi="Arial" w:cs="Arial"/>
          <w:color w:val="333333"/>
        </w:rPr>
        <w:t>15.3</w:t>
      </w:r>
      <w:r w:rsidR="009C1425" w:rsidRPr="00B46382">
        <w:rPr>
          <w:rFonts w:ascii="Arial" w:hAnsi="Arial" w:cs="Arial"/>
          <w:color w:val="333333"/>
        </w:rPr>
        <w:t xml:space="preserve">% to </w:t>
      </w:r>
      <w:r w:rsidR="00E71451" w:rsidRPr="00B46382">
        <w:rPr>
          <w:rFonts w:ascii="Arial" w:hAnsi="Arial" w:cs="Arial"/>
          <w:color w:val="333333"/>
        </w:rPr>
        <w:t>19.3</w:t>
      </w:r>
      <w:r w:rsidR="009C1425" w:rsidRPr="00B46382">
        <w:rPr>
          <w:rFonts w:ascii="Arial" w:hAnsi="Arial" w:cs="Arial"/>
          <w:color w:val="333333"/>
        </w:rPr>
        <w:t>%</w:t>
      </w:r>
      <w:r w:rsidR="00214653" w:rsidRPr="00B46382">
        <w:rPr>
          <w:rFonts w:ascii="Arial" w:hAnsi="Arial" w:cs="Arial"/>
          <w:color w:val="333333"/>
        </w:rPr>
        <w:t xml:space="preserve">. </w:t>
      </w:r>
      <w:r w:rsidR="00D46E59" w:rsidRPr="00B46382">
        <w:rPr>
          <w:rFonts w:ascii="Arial" w:hAnsi="Arial" w:cs="Arial"/>
          <w:color w:val="333333"/>
        </w:rPr>
        <w:t xml:space="preserve">This is </w:t>
      </w:r>
      <w:r w:rsidR="002D31D9" w:rsidRPr="00B46382">
        <w:rPr>
          <w:rFonts w:ascii="Arial" w:hAnsi="Arial" w:cs="Arial"/>
          <w:color w:val="333333"/>
        </w:rPr>
        <w:t xml:space="preserve">a difference </w:t>
      </w:r>
      <w:r w:rsidR="00110CCD" w:rsidRPr="00B46382">
        <w:rPr>
          <w:rFonts w:ascii="Arial" w:hAnsi="Arial" w:cs="Arial"/>
          <w:color w:val="333333"/>
        </w:rPr>
        <w:t xml:space="preserve">of +1.4% </w:t>
      </w:r>
      <w:r w:rsidR="00A03D46" w:rsidRPr="00B46382">
        <w:rPr>
          <w:rFonts w:ascii="Arial" w:hAnsi="Arial" w:cs="Arial"/>
          <w:color w:val="333333"/>
        </w:rPr>
        <w:t xml:space="preserve">(2018-19) </w:t>
      </w:r>
      <w:r w:rsidR="00110CCD" w:rsidRPr="00B46382">
        <w:rPr>
          <w:rFonts w:ascii="Arial" w:hAnsi="Arial" w:cs="Arial"/>
          <w:color w:val="333333"/>
        </w:rPr>
        <w:t xml:space="preserve">and +4.7% </w:t>
      </w:r>
      <w:r w:rsidR="00A03D46" w:rsidRPr="00B46382">
        <w:rPr>
          <w:rFonts w:ascii="Arial" w:hAnsi="Arial" w:cs="Arial"/>
          <w:color w:val="333333"/>
        </w:rPr>
        <w:t>(</w:t>
      </w:r>
      <w:r w:rsidR="00AC161C" w:rsidRPr="00B46382">
        <w:rPr>
          <w:rFonts w:ascii="Arial" w:hAnsi="Arial" w:cs="Arial"/>
          <w:color w:val="333333"/>
        </w:rPr>
        <w:t xml:space="preserve">2021-22) </w:t>
      </w:r>
      <w:r w:rsidR="0002438A" w:rsidRPr="00B46382">
        <w:rPr>
          <w:rFonts w:ascii="Arial" w:hAnsi="Arial" w:cs="Arial"/>
          <w:color w:val="333333"/>
        </w:rPr>
        <w:t xml:space="preserve">compared </w:t>
      </w:r>
      <w:r w:rsidR="000B350D" w:rsidRPr="00B46382">
        <w:rPr>
          <w:rFonts w:ascii="Arial" w:hAnsi="Arial" w:cs="Arial"/>
          <w:color w:val="333333"/>
        </w:rPr>
        <w:t xml:space="preserve">to </w:t>
      </w:r>
      <w:r w:rsidR="00614464" w:rsidRPr="00B46382">
        <w:rPr>
          <w:rFonts w:ascii="Arial" w:hAnsi="Arial" w:cs="Arial"/>
          <w:color w:val="333333"/>
        </w:rPr>
        <w:t>s</w:t>
      </w:r>
      <w:r w:rsidR="000B350D" w:rsidRPr="00B46382">
        <w:rPr>
          <w:rFonts w:ascii="Arial" w:hAnsi="Arial" w:cs="Arial"/>
          <w:color w:val="333333"/>
        </w:rPr>
        <w:t>ector</w:t>
      </w:r>
      <w:r w:rsidR="00614464" w:rsidRPr="00B46382">
        <w:rPr>
          <w:rFonts w:ascii="Arial" w:hAnsi="Arial" w:cs="Arial"/>
          <w:color w:val="333333"/>
        </w:rPr>
        <w:t>-wide data.</w:t>
      </w:r>
      <w:r w:rsidR="00782105" w:rsidRPr="00B46382">
        <w:rPr>
          <w:rFonts w:ascii="Arial" w:hAnsi="Arial" w:cs="Arial"/>
          <w:color w:val="333333"/>
        </w:rPr>
        <w:t xml:space="preserve"> </w:t>
      </w:r>
    </w:p>
    <w:p w14:paraId="06CCF000" w14:textId="6EA8434B" w:rsidR="00775FEB" w:rsidRPr="00B46382" w:rsidRDefault="00AC6A1D" w:rsidP="00BE796B">
      <w:pPr>
        <w:pStyle w:val="NormalWeb"/>
        <w:spacing w:before="0" w:beforeAutospacing="0" w:after="300" w:afterAutospacing="0"/>
        <w:rPr>
          <w:rFonts w:ascii="Arial" w:hAnsi="Arial" w:cs="Arial"/>
          <w:color w:val="333333"/>
        </w:rPr>
      </w:pPr>
      <w:r w:rsidRPr="00B46382">
        <w:rPr>
          <w:rFonts w:ascii="Arial" w:hAnsi="Arial" w:cs="Arial"/>
          <w:color w:val="333333"/>
        </w:rPr>
        <w:t xml:space="preserve">In contrast, from 2018-19 to 2021-22 </w:t>
      </w:r>
      <w:r w:rsidR="00B26F77" w:rsidRPr="00B46382">
        <w:rPr>
          <w:rFonts w:ascii="Arial" w:hAnsi="Arial" w:cs="Arial"/>
          <w:color w:val="333333"/>
        </w:rPr>
        <w:t xml:space="preserve">our </w:t>
      </w:r>
      <w:r w:rsidRPr="00B46382">
        <w:rPr>
          <w:rFonts w:ascii="Arial" w:hAnsi="Arial" w:cs="Arial"/>
          <w:color w:val="333333"/>
        </w:rPr>
        <w:t xml:space="preserve">data has evidenced a </w:t>
      </w:r>
      <w:r w:rsidR="003F1C60" w:rsidRPr="00B46382">
        <w:rPr>
          <w:rFonts w:ascii="Arial" w:hAnsi="Arial" w:cs="Arial"/>
          <w:color w:val="333333"/>
        </w:rPr>
        <w:t>7.4</w:t>
      </w:r>
      <w:r w:rsidRPr="00B46382">
        <w:rPr>
          <w:rFonts w:ascii="Arial" w:hAnsi="Arial" w:cs="Arial"/>
          <w:color w:val="333333"/>
        </w:rPr>
        <w:t xml:space="preserve">% </w:t>
      </w:r>
      <w:r w:rsidR="003F1C60" w:rsidRPr="00B46382">
        <w:rPr>
          <w:rFonts w:ascii="Arial" w:hAnsi="Arial" w:cs="Arial"/>
          <w:color w:val="333333"/>
        </w:rPr>
        <w:t>decrease</w:t>
      </w:r>
      <w:r w:rsidRPr="00B46382">
        <w:rPr>
          <w:rFonts w:ascii="Arial" w:hAnsi="Arial" w:cs="Arial"/>
          <w:color w:val="333333"/>
        </w:rPr>
        <w:t xml:space="preserve"> in BAME students accessing HE on a ‘</w:t>
      </w:r>
      <w:r w:rsidR="003F1C60" w:rsidRPr="00B46382">
        <w:rPr>
          <w:rFonts w:ascii="Arial" w:hAnsi="Arial" w:cs="Arial"/>
          <w:color w:val="333333"/>
        </w:rPr>
        <w:t>full</w:t>
      </w:r>
      <w:r w:rsidRPr="00B46382">
        <w:rPr>
          <w:rFonts w:ascii="Arial" w:hAnsi="Arial" w:cs="Arial"/>
          <w:color w:val="333333"/>
        </w:rPr>
        <w:t xml:space="preserve">-time’ basis from </w:t>
      </w:r>
      <w:r w:rsidR="005876D2" w:rsidRPr="00B46382">
        <w:rPr>
          <w:rFonts w:ascii="Arial" w:hAnsi="Arial" w:cs="Arial"/>
          <w:color w:val="333333"/>
        </w:rPr>
        <w:t>33</w:t>
      </w:r>
      <w:r w:rsidRPr="00B46382">
        <w:rPr>
          <w:rFonts w:ascii="Arial" w:hAnsi="Arial" w:cs="Arial"/>
          <w:color w:val="333333"/>
        </w:rPr>
        <w:t xml:space="preserve">% to </w:t>
      </w:r>
      <w:r w:rsidR="005876D2" w:rsidRPr="00B46382">
        <w:rPr>
          <w:rFonts w:ascii="Arial" w:hAnsi="Arial" w:cs="Arial"/>
          <w:color w:val="333333"/>
        </w:rPr>
        <w:t>25.6</w:t>
      </w:r>
      <w:r w:rsidRPr="00B46382">
        <w:rPr>
          <w:rFonts w:ascii="Arial" w:hAnsi="Arial" w:cs="Arial"/>
          <w:color w:val="333333"/>
        </w:rPr>
        <w:t>%. This is a difference of +1</w:t>
      </w:r>
      <w:r w:rsidR="00DE1BD7" w:rsidRPr="00B46382">
        <w:rPr>
          <w:rFonts w:ascii="Arial" w:hAnsi="Arial" w:cs="Arial"/>
          <w:color w:val="333333"/>
        </w:rPr>
        <w:t>.7</w:t>
      </w:r>
      <w:r w:rsidRPr="00B46382">
        <w:rPr>
          <w:rFonts w:ascii="Arial" w:hAnsi="Arial" w:cs="Arial"/>
          <w:color w:val="333333"/>
        </w:rPr>
        <w:t xml:space="preserve">% (2018-19) and </w:t>
      </w:r>
      <w:r w:rsidR="00DE1BD7" w:rsidRPr="00B46382">
        <w:rPr>
          <w:rFonts w:ascii="Arial" w:hAnsi="Arial" w:cs="Arial"/>
          <w:color w:val="333333"/>
        </w:rPr>
        <w:t>-9.2</w:t>
      </w:r>
      <w:r w:rsidRPr="00B46382">
        <w:rPr>
          <w:rFonts w:ascii="Arial" w:hAnsi="Arial" w:cs="Arial"/>
          <w:color w:val="333333"/>
        </w:rPr>
        <w:t>% (2021-22) compared to sector-wide data</w:t>
      </w:r>
      <w:r w:rsidR="00550C57" w:rsidRPr="00B46382">
        <w:rPr>
          <w:rFonts w:ascii="Arial" w:hAnsi="Arial" w:cs="Arial"/>
          <w:color w:val="333333"/>
        </w:rPr>
        <w:t>.</w:t>
      </w:r>
      <w:r w:rsidR="00A368C3" w:rsidRPr="00B46382">
        <w:rPr>
          <w:rFonts w:ascii="Arial" w:hAnsi="Arial" w:cs="Arial"/>
          <w:color w:val="333333"/>
        </w:rPr>
        <w:t xml:space="preserve"> </w:t>
      </w:r>
      <w:r w:rsidR="000753E7" w:rsidRPr="00B46382">
        <w:rPr>
          <w:rFonts w:ascii="Arial" w:hAnsi="Arial" w:cs="Arial"/>
          <w:color w:val="333333"/>
        </w:rPr>
        <w:t>This is also in contrast</w:t>
      </w:r>
      <w:r w:rsidR="00D03CB6" w:rsidRPr="00B46382">
        <w:rPr>
          <w:rFonts w:ascii="Arial" w:hAnsi="Arial" w:cs="Arial"/>
          <w:color w:val="333333"/>
        </w:rPr>
        <w:t xml:space="preserve"> to</w:t>
      </w:r>
      <w:r w:rsidR="000753E7" w:rsidRPr="00B46382">
        <w:rPr>
          <w:rFonts w:ascii="Arial" w:hAnsi="Arial" w:cs="Arial"/>
          <w:color w:val="333333"/>
        </w:rPr>
        <w:t xml:space="preserve"> </w:t>
      </w:r>
      <w:r w:rsidR="00507CAC" w:rsidRPr="00B46382">
        <w:rPr>
          <w:rFonts w:ascii="Arial" w:hAnsi="Arial" w:cs="Arial"/>
          <w:color w:val="333333"/>
        </w:rPr>
        <w:t>nationwide data (Widening Parti</w:t>
      </w:r>
      <w:r w:rsidR="00D03CB6" w:rsidRPr="00B46382">
        <w:rPr>
          <w:rFonts w:ascii="Arial" w:hAnsi="Arial" w:cs="Arial"/>
          <w:color w:val="333333"/>
        </w:rPr>
        <w:t>cipation</w:t>
      </w:r>
      <w:r w:rsidR="00507CAC" w:rsidRPr="00B46382">
        <w:rPr>
          <w:rFonts w:ascii="Arial" w:hAnsi="Arial" w:cs="Arial"/>
          <w:color w:val="333333"/>
        </w:rPr>
        <w:t>, 2023), where Black</w:t>
      </w:r>
      <w:r w:rsidR="0070610A" w:rsidRPr="00B46382">
        <w:rPr>
          <w:rFonts w:ascii="Arial" w:hAnsi="Arial" w:cs="Arial"/>
          <w:color w:val="333333"/>
        </w:rPr>
        <w:t xml:space="preserve"> students have</w:t>
      </w:r>
      <w:r w:rsidR="00D43FA5" w:rsidRPr="00B46382">
        <w:rPr>
          <w:rFonts w:ascii="Arial" w:hAnsi="Arial" w:cs="Arial"/>
          <w:color w:val="333333"/>
        </w:rPr>
        <w:t xml:space="preserve"> </w:t>
      </w:r>
      <w:r w:rsidR="0070610A" w:rsidRPr="00B46382">
        <w:rPr>
          <w:rFonts w:ascii="Arial" w:hAnsi="Arial" w:cs="Arial"/>
          <w:color w:val="333333"/>
        </w:rPr>
        <w:t>seen the greatest increase in the proportion entering HE</w:t>
      </w:r>
      <w:r w:rsidR="00D43FA5" w:rsidRPr="00B46382">
        <w:rPr>
          <w:rFonts w:ascii="Arial" w:hAnsi="Arial" w:cs="Arial"/>
          <w:color w:val="333333"/>
        </w:rPr>
        <w:t xml:space="preserve"> from 44.1% in 2019 to 63.5% in 21-22. </w:t>
      </w:r>
      <w:r w:rsidR="00A368C3" w:rsidRPr="00B46382">
        <w:rPr>
          <w:rFonts w:ascii="Arial" w:hAnsi="Arial" w:cs="Arial"/>
          <w:color w:val="333333"/>
        </w:rPr>
        <w:t xml:space="preserve">We </w:t>
      </w:r>
      <w:r w:rsidR="0048057F" w:rsidRPr="00B46382">
        <w:rPr>
          <w:rFonts w:ascii="Arial" w:hAnsi="Arial" w:cs="Arial"/>
          <w:color w:val="333333"/>
        </w:rPr>
        <w:t xml:space="preserve">interpret </w:t>
      </w:r>
      <w:r w:rsidR="00A368C3" w:rsidRPr="00B46382">
        <w:rPr>
          <w:rFonts w:ascii="Arial" w:hAnsi="Arial" w:cs="Arial"/>
          <w:color w:val="333333"/>
        </w:rPr>
        <w:t xml:space="preserve">from this trend that part-time provision may provide a </w:t>
      </w:r>
      <w:r w:rsidR="003E4FC3" w:rsidRPr="00B46382">
        <w:rPr>
          <w:rFonts w:ascii="Arial" w:hAnsi="Arial" w:cs="Arial"/>
          <w:color w:val="333333"/>
        </w:rPr>
        <w:t>better offer for some students</w:t>
      </w:r>
      <w:r w:rsidR="0048057F" w:rsidRPr="00B46382">
        <w:rPr>
          <w:rFonts w:ascii="Arial" w:hAnsi="Arial" w:cs="Arial"/>
          <w:color w:val="333333"/>
        </w:rPr>
        <w:t>, particularly students of BAME origin</w:t>
      </w:r>
      <w:r w:rsidR="007106DC" w:rsidRPr="00B46382">
        <w:rPr>
          <w:rFonts w:ascii="Arial" w:hAnsi="Arial" w:cs="Arial"/>
          <w:color w:val="333333"/>
        </w:rPr>
        <w:t xml:space="preserve"> based on these findings.</w:t>
      </w:r>
      <w:r w:rsidR="0048057F" w:rsidRPr="00B46382">
        <w:rPr>
          <w:rFonts w:ascii="Arial" w:hAnsi="Arial" w:cs="Arial"/>
          <w:color w:val="333333"/>
        </w:rPr>
        <w:t xml:space="preserve"> </w:t>
      </w:r>
      <w:r w:rsidR="00A031AF" w:rsidRPr="00B46382">
        <w:rPr>
          <w:rFonts w:ascii="Arial" w:hAnsi="Arial" w:cs="Arial"/>
          <w:color w:val="333333"/>
        </w:rPr>
        <w:t xml:space="preserve">Again, the development of our HTQ provision </w:t>
      </w:r>
      <w:r w:rsidR="00E90BFA" w:rsidRPr="00B46382">
        <w:rPr>
          <w:rFonts w:ascii="Arial" w:hAnsi="Arial" w:cs="Arial"/>
          <w:color w:val="333333"/>
        </w:rPr>
        <w:t>offering</w:t>
      </w:r>
      <w:r w:rsidR="00FE4C10" w:rsidRPr="00B46382">
        <w:rPr>
          <w:rFonts w:ascii="Arial" w:hAnsi="Arial" w:cs="Arial"/>
          <w:color w:val="333333"/>
        </w:rPr>
        <w:t xml:space="preserve"> more subjects and</w:t>
      </w:r>
      <w:r w:rsidR="00E90BFA" w:rsidRPr="00B46382">
        <w:rPr>
          <w:rFonts w:ascii="Arial" w:hAnsi="Arial" w:cs="Arial"/>
          <w:color w:val="333333"/>
        </w:rPr>
        <w:t xml:space="preserve"> a more flexible/modular </w:t>
      </w:r>
      <w:r w:rsidR="00FE4C10" w:rsidRPr="00B46382">
        <w:rPr>
          <w:rFonts w:ascii="Arial" w:hAnsi="Arial" w:cs="Arial"/>
          <w:color w:val="333333"/>
        </w:rPr>
        <w:t>delivery model</w:t>
      </w:r>
      <w:r w:rsidR="00E90BFA" w:rsidRPr="00B46382">
        <w:rPr>
          <w:rFonts w:ascii="Arial" w:hAnsi="Arial" w:cs="Arial"/>
          <w:color w:val="333333"/>
        </w:rPr>
        <w:t xml:space="preserve"> over the next 3 years may </w:t>
      </w:r>
      <w:r w:rsidR="00072AAE" w:rsidRPr="00B46382">
        <w:rPr>
          <w:rFonts w:ascii="Arial" w:hAnsi="Arial" w:cs="Arial"/>
          <w:color w:val="333333"/>
        </w:rPr>
        <w:t>provide a more attractive offer.</w:t>
      </w:r>
    </w:p>
    <w:p w14:paraId="787A657C" w14:textId="571E7743" w:rsidR="00E90AB0" w:rsidRPr="00B46382" w:rsidRDefault="0055724C" w:rsidP="0055724C">
      <w:pPr>
        <w:pStyle w:val="Heading3"/>
      </w:pPr>
      <w:r>
        <w:t xml:space="preserve">9.4 </w:t>
      </w:r>
      <w:r w:rsidR="000D2E0C" w:rsidRPr="00B46382">
        <w:t>Disclosure of a disability/difficulty or health problem</w:t>
      </w:r>
    </w:p>
    <w:p w14:paraId="3C8CA806" w14:textId="5B58D925" w:rsidR="006650BE" w:rsidRPr="00B46382" w:rsidRDefault="00612E70" w:rsidP="00612E70">
      <w:pPr>
        <w:pStyle w:val="NormalWeb"/>
        <w:spacing w:before="0" w:beforeAutospacing="0" w:after="300" w:afterAutospacing="0"/>
        <w:rPr>
          <w:rFonts w:ascii="Arial" w:hAnsi="Arial" w:cs="Arial"/>
        </w:rPr>
      </w:pPr>
      <w:r w:rsidRPr="00B46382">
        <w:rPr>
          <w:rFonts w:ascii="Arial" w:hAnsi="Arial" w:cs="Arial"/>
          <w:color w:val="333333"/>
        </w:rPr>
        <w:t xml:space="preserve">We are aware that disabled students are an under-represented group that provide a risk of equal opportunity for access and participation in HE </w:t>
      </w:r>
      <w:r w:rsidR="00CA76C3" w:rsidRPr="00B46382">
        <w:rPr>
          <w:rFonts w:ascii="Arial" w:hAnsi="Arial" w:cs="Arial"/>
          <w:color w:val="333333"/>
        </w:rPr>
        <w:t>(</w:t>
      </w:r>
      <w:r w:rsidRPr="00B46382">
        <w:rPr>
          <w:rFonts w:ascii="Arial" w:hAnsi="Arial" w:cs="Arial"/>
          <w:color w:val="333333"/>
        </w:rPr>
        <w:t>EORR</w:t>
      </w:r>
      <w:r w:rsidR="00CA76C3" w:rsidRPr="00B46382">
        <w:rPr>
          <w:rFonts w:ascii="Arial" w:hAnsi="Arial" w:cs="Arial"/>
          <w:color w:val="333333"/>
        </w:rPr>
        <w:t>)</w:t>
      </w:r>
      <w:r w:rsidRPr="00B46382">
        <w:rPr>
          <w:rFonts w:ascii="Arial" w:hAnsi="Arial" w:cs="Arial"/>
          <w:color w:val="333333"/>
        </w:rPr>
        <w:t xml:space="preserve">. </w:t>
      </w:r>
      <w:r w:rsidR="00C62225" w:rsidRPr="00B46382">
        <w:rPr>
          <w:rFonts w:ascii="Arial" w:hAnsi="Arial" w:cs="Arial"/>
          <w:color w:val="333333"/>
        </w:rPr>
        <w:t>Also</w:t>
      </w:r>
      <w:r w:rsidR="00CD371D" w:rsidRPr="00B46382">
        <w:rPr>
          <w:rFonts w:ascii="Arial" w:hAnsi="Arial" w:cs="Arial"/>
          <w:color w:val="333333"/>
        </w:rPr>
        <w:t>,</w:t>
      </w:r>
      <w:r w:rsidR="00C62225" w:rsidRPr="00B46382">
        <w:rPr>
          <w:rFonts w:ascii="Arial" w:hAnsi="Arial" w:cs="Arial"/>
          <w:color w:val="333333"/>
        </w:rPr>
        <w:t xml:space="preserve"> we are very aware of the increased disclosure</w:t>
      </w:r>
      <w:r w:rsidR="006650BE" w:rsidRPr="00B46382">
        <w:rPr>
          <w:rFonts w:ascii="Arial" w:hAnsi="Arial" w:cs="Arial"/>
          <w:color w:val="333333"/>
        </w:rPr>
        <w:t xml:space="preserve"> of disability</w:t>
      </w:r>
      <w:r w:rsidR="00450E64" w:rsidRPr="00B46382">
        <w:rPr>
          <w:rFonts w:ascii="Arial" w:hAnsi="Arial" w:cs="Arial"/>
          <w:color w:val="333333"/>
        </w:rPr>
        <w:t xml:space="preserve"> over the last 10 years, specifically a </w:t>
      </w:r>
      <w:r w:rsidR="00450E64" w:rsidRPr="00B46382">
        <w:rPr>
          <w:rFonts w:ascii="Arial" w:hAnsi="Arial" w:cs="Arial"/>
        </w:rPr>
        <w:t>105% increase in applicants sharing disability information, driven largely by a steep increase in disclosure of mental health conditions (up 453%) and social, behavioural or communication impairments (up 249%)</w:t>
      </w:r>
      <w:r w:rsidR="003005AE" w:rsidRPr="00B46382">
        <w:rPr>
          <w:rFonts w:ascii="Arial" w:hAnsi="Arial" w:cs="Arial"/>
        </w:rPr>
        <w:t xml:space="preserve"> (</w:t>
      </w:r>
      <w:r w:rsidR="006650BE" w:rsidRPr="00B46382">
        <w:rPr>
          <w:rFonts w:ascii="Arial" w:hAnsi="Arial" w:cs="Arial"/>
        </w:rPr>
        <w:t xml:space="preserve">UCAS 2022). </w:t>
      </w:r>
    </w:p>
    <w:p w14:paraId="6BDF700F" w14:textId="581C5F8F" w:rsidR="00612E70" w:rsidRPr="00B46382" w:rsidRDefault="00612E70" w:rsidP="00612E70">
      <w:pPr>
        <w:pStyle w:val="NormalWeb"/>
        <w:spacing w:before="0" w:beforeAutospacing="0" w:after="300" w:afterAutospacing="0"/>
        <w:rPr>
          <w:rFonts w:ascii="Arial" w:hAnsi="Arial" w:cs="Arial"/>
          <w:color w:val="FF0000"/>
        </w:rPr>
      </w:pPr>
      <w:r w:rsidRPr="00B46382">
        <w:rPr>
          <w:rFonts w:ascii="Arial" w:hAnsi="Arial" w:cs="Arial"/>
          <w:color w:val="333333"/>
        </w:rPr>
        <w:t>Our summary and analysis of our data shows a 5-year trend from 2018/19 to 2022/23 whereby students</w:t>
      </w:r>
      <w:r w:rsidR="00F07E04" w:rsidRPr="00B46382">
        <w:rPr>
          <w:rFonts w:ascii="Arial" w:hAnsi="Arial" w:cs="Arial"/>
          <w:color w:val="333333"/>
        </w:rPr>
        <w:t xml:space="preserve"> who have not disclosed a </w:t>
      </w:r>
      <w:r w:rsidR="00067D14" w:rsidRPr="00B46382">
        <w:rPr>
          <w:rFonts w:ascii="Arial" w:hAnsi="Arial" w:cs="Arial"/>
          <w:color w:val="333333"/>
        </w:rPr>
        <w:t>disability, difficulty or health problem</w:t>
      </w:r>
      <w:r w:rsidRPr="00B46382">
        <w:rPr>
          <w:rFonts w:ascii="Arial" w:hAnsi="Arial" w:cs="Arial"/>
          <w:color w:val="333333"/>
        </w:rPr>
        <w:t xml:space="preserve"> have consistently higher achievement than </w:t>
      </w:r>
      <w:r w:rsidR="00067D14" w:rsidRPr="00B46382">
        <w:rPr>
          <w:rFonts w:ascii="Arial" w:hAnsi="Arial" w:cs="Arial"/>
          <w:color w:val="333333"/>
        </w:rPr>
        <w:t>those that have</w:t>
      </w:r>
      <w:r w:rsidRPr="00B46382">
        <w:rPr>
          <w:rFonts w:ascii="Arial" w:hAnsi="Arial" w:cs="Arial"/>
          <w:color w:val="333333"/>
        </w:rPr>
        <w:t xml:space="preserve"> students. Though the numbers of students </w:t>
      </w:r>
      <w:r w:rsidR="00444569" w:rsidRPr="00B46382">
        <w:rPr>
          <w:rFonts w:ascii="Arial" w:hAnsi="Arial" w:cs="Arial"/>
          <w:color w:val="333333"/>
        </w:rPr>
        <w:t>who disclose a disability/</w:t>
      </w:r>
      <w:r w:rsidR="000271ED" w:rsidRPr="00B46382">
        <w:rPr>
          <w:rFonts w:ascii="Arial" w:hAnsi="Arial" w:cs="Arial"/>
          <w:color w:val="333333"/>
        </w:rPr>
        <w:t xml:space="preserve">difficulty or health problem </w:t>
      </w:r>
      <w:r w:rsidRPr="00B46382">
        <w:rPr>
          <w:rFonts w:ascii="Arial" w:hAnsi="Arial" w:cs="Arial"/>
          <w:color w:val="333333"/>
        </w:rPr>
        <w:lastRenderedPageBreak/>
        <w:t xml:space="preserve">is too small to draw any firm conclusions, the achievement gap between these two groups </w:t>
      </w:r>
      <w:r w:rsidR="00F51831" w:rsidRPr="00B46382">
        <w:rPr>
          <w:rFonts w:ascii="Arial" w:hAnsi="Arial" w:cs="Arial"/>
          <w:color w:val="333333"/>
        </w:rPr>
        <w:t xml:space="preserve">has </w:t>
      </w:r>
      <w:r w:rsidRPr="00B46382">
        <w:rPr>
          <w:rFonts w:ascii="Arial" w:hAnsi="Arial" w:cs="Arial"/>
          <w:color w:val="333333"/>
        </w:rPr>
        <w:t>narrow</w:t>
      </w:r>
      <w:r w:rsidR="000271ED" w:rsidRPr="00B46382">
        <w:rPr>
          <w:rFonts w:ascii="Arial" w:hAnsi="Arial" w:cs="Arial"/>
          <w:color w:val="333333"/>
        </w:rPr>
        <w:t xml:space="preserve">ed </w:t>
      </w:r>
      <w:r w:rsidR="001E2ADF" w:rsidRPr="00B46382">
        <w:rPr>
          <w:rFonts w:ascii="Arial" w:hAnsi="Arial" w:cs="Arial"/>
          <w:color w:val="333333"/>
        </w:rPr>
        <w:t xml:space="preserve">greatly </w:t>
      </w:r>
      <w:r w:rsidR="00A925AC" w:rsidRPr="00B46382">
        <w:rPr>
          <w:rFonts w:ascii="Arial" w:hAnsi="Arial" w:cs="Arial"/>
          <w:color w:val="333333"/>
        </w:rPr>
        <w:t>from 25.9% in</w:t>
      </w:r>
      <w:r w:rsidR="000271ED" w:rsidRPr="00B46382">
        <w:rPr>
          <w:rFonts w:ascii="Arial" w:hAnsi="Arial" w:cs="Arial"/>
          <w:color w:val="333333"/>
        </w:rPr>
        <w:t xml:space="preserve"> 20</w:t>
      </w:r>
      <w:r w:rsidR="00A925AC" w:rsidRPr="00B46382">
        <w:rPr>
          <w:rFonts w:ascii="Arial" w:hAnsi="Arial" w:cs="Arial"/>
          <w:color w:val="333333"/>
        </w:rPr>
        <w:t>20/21 t</w:t>
      </w:r>
      <w:r w:rsidRPr="00B46382">
        <w:rPr>
          <w:rFonts w:ascii="Arial" w:hAnsi="Arial" w:cs="Arial"/>
          <w:color w:val="333333"/>
        </w:rPr>
        <w:t xml:space="preserve">o </w:t>
      </w:r>
      <w:r w:rsidR="00A63CAF" w:rsidRPr="00B46382">
        <w:rPr>
          <w:rFonts w:ascii="Arial" w:hAnsi="Arial" w:cs="Arial"/>
          <w:color w:val="333333"/>
        </w:rPr>
        <w:t>0.</w:t>
      </w:r>
      <w:r w:rsidR="00F51831" w:rsidRPr="00B46382">
        <w:rPr>
          <w:rFonts w:ascii="Arial" w:hAnsi="Arial" w:cs="Arial"/>
          <w:color w:val="333333"/>
        </w:rPr>
        <w:t xml:space="preserve">3% in </w:t>
      </w:r>
      <w:r w:rsidRPr="00B46382">
        <w:rPr>
          <w:rFonts w:ascii="Arial" w:hAnsi="Arial" w:cs="Arial"/>
          <w:color w:val="333333"/>
        </w:rPr>
        <w:t>2022/23</w:t>
      </w:r>
      <w:r w:rsidR="002A2774" w:rsidRPr="00B46382">
        <w:rPr>
          <w:rFonts w:ascii="Arial" w:hAnsi="Arial" w:cs="Arial"/>
          <w:color w:val="333333"/>
        </w:rPr>
        <w:t>.</w:t>
      </w:r>
      <w:r w:rsidRPr="00B46382">
        <w:rPr>
          <w:rFonts w:ascii="Arial" w:hAnsi="Arial" w:cs="Arial"/>
          <w:color w:val="333333"/>
        </w:rPr>
        <w:t xml:space="preserve"> Due to the continual reduction in percentage achievement </w:t>
      </w:r>
      <w:r w:rsidR="00D31D6A" w:rsidRPr="00B46382">
        <w:rPr>
          <w:rFonts w:ascii="Arial" w:hAnsi="Arial" w:cs="Arial"/>
          <w:color w:val="333333"/>
        </w:rPr>
        <w:t xml:space="preserve">gap </w:t>
      </w:r>
      <w:r w:rsidRPr="00B46382">
        <w:rPr>
          <w:rFonts w:ascii="Arial" w:hAnsi="Arial" w:cs="Arial"/>
          <w:color w:val="333333"/>
        </w:rPr>
        <w:t xml:space="preserve">over this time, </w:t>
      </w:r>
      <w:r w:rsidR="00BB52EE" w:rsidRPr="00B46382">
        <w:rPr>
          <w:rFonts w:ascii="Arial" w:hAnsi="Arial" w:cs="Arial"/>
          <w:color w:val="333333"/>
        </w:rPr>
        <w:t>dis</w:t>
      </w:r>
      <w:r w:rsidR="000F11D0" w:rsidRPr="00B46382">
        <w:rPr>
          <w:rFonts w:ascii="Arial" w:hAnsi="Arial" w:cs="Arial"/>
          <w:color w:val="333333"/>
        </w:rPr>
        <w:t>closure of a disability, difficulty or health problem</w:t>
      </w:r>
      <w:r w:rsidRPr="00B46382">
        <w:rPr>
          <w:rFonts w:ascii="Arial" w:hAnsi="Arial" w:cs="Arial"/>
          <w:color w:val="333333"/>
        </w:rPr>
        <w:t xml:space="preserve"> has not been considered </w:t>
      </w:r>
      <w:r w:rsidR="0044662A" w:rsidRPr="00B46382">
        <w:rPr>
          <w:rFonts w:ascii="Arial" w:hAnsi="Arial" w:cs="Arial"/>
          <w:color w:val="333333"/>
        </w:rPr>
        <w:t xml:space="preserve">a </w:t>
      </w:r>
      <w:r w:rsidRPr="00B46382">
        <w:rPr>
          <w:rFonts w:ascii="Arial" w:hAnsi="Arial" w:cs="Arial"/>
          <w:color w:val="333333"/>
        </w:rPr>
        <w:t>target in this APP.</w:t>
      </w:r>
      <w:r w:rsidR="000F11D0" w:rsidRPr="00B46382">
        <w:rPr>
          <w:rFonts w:ascii="Arial" w:hAnsi="Arial" w:cs="Arial"/>
          <w:color w:val="333333"/>
        </w:rPr>
        <w:t xml:space="preserve"> Despite this</w:t>
      </w:r>
      <w:r w:rsidR="005F3A77" w:rsidRPr="00B46382">
        <w:rPr>
          <w:rFonts w:ascii="Arial" w:hAnsi="Arial" w:cs="Arial"/>
          <w:color w:val="333333"/>
        </w:rPr>
        <w:t>,</w:t>
      </w:r>
      <w:r w:rsidR="000F11D0" w:rsidRPr="00B46382">
        <w:rPr>
          <w:rFonts w:ascii="Arial" w:hAnsi="Arial" w:cs="Arial"/>
          <w:color w:val="333333"/>
        </w:rPr>
        <w:t xml:space="preserve"> </w:t>
      </w:r>
      <w:r w:rsidR="005F3A77" w:rsidRPr="00B46382">
        <w:rPr>
          <w:rFonts w:ascii="Arial" w:hAnsi="Arial" w:cs="Arial"/>
          <w:color w:val="333333"/>
        </w:rPr>
        <w:t xml:space="preserve">disabled students will also continue to benefit from </w:t>
      </w:r>
      <w:r w:rsidR="00A2771B" w:rsidRPr="00B46382">
        <w:rPr>
          <w:rFonts w:ascii="Arial" w:hAnsi="Arial" w:cs="Arial"/>
          <w:color w:val="333333"/>
        </w:rPr>
        <w:t xml:space="preserve">our Theory of Change </w:t>
      </w:r>
      <w:r w:rsidR="005F3A77" w:rsidRPr="00B46382">
        <w:rPr>
          <w:rFonts w:ascii="Arial" w:hAnsi="Arial" w:cs="Arial"/>
          <w:color w:val="333333"/>
        </w:rPr>
        <w:t xml:space="preserve">interventions </w:t>
      </w:r>
      <w:r w:rsidR="001E2ADF" w:rsidRPr="00B46382">
        <w:rPr>
          <w:rFonts w:ascii="Arial" w:hAnsi="Arial" w:cs="Arial"/>
          <w:color w:val="333333"/>
        </w:rPr>
        <w:t>(</w:t>
      </w:r>
      <w:r w:rsidR="009446EA" w:rsidRPr="00B46382">
        <w:rPr>
          <w:rFonts w:ascii="Arial" w:hAnsi="Arial" w:cs="Arial"/>
          <w:color w:val="333333"/>
        </w:rPr>
        <w:t xml:space="preserve">e.g. </w:t>
      </w:r>
      <w:r w:rsidR="00E03E9B" w:rsidRPr="00B46382">
        <w:rPr>
          <w:rFonts w:ascii="Arial" w:hAnsi="Arial" w:cs="Arial"/>
          <w:color w:val="333333"/>
        </w:rPr>
        <w:t>D</w:t>
      </w:r>
      <w:r w:rsidR="009446EA" w:rsidRPr="00B46382">
        <w:rPr>
          <w:rFonts w:ascii="Arial" w:hAnsi="Arial" w:cs="Arial"/>
          <w:color w:val="333333"/>
        </w:rPr>
        <w:t xml:space="preserve">isability </w:t>
      </w:r>
      <w:r w:rsidR="00E03E9B" w:rsidRPr="00B46382">
        <w:rPr>
          <w:rFonts w:ascii="Arial" w:hAnsi="Arial" w:cs="Arial"/>
          <w:color w:val="333333"/>
        </w:rPr>
        <w:t>S</w:t>
      </w:r>
      <w:r w:rsidR="009446EA" w:rsidRPr="00B46382">
        <w:rPr>
          <w:rFonts w:ascii="Arial" w:hAnsi="Arial" w:cs="Arial"/>
          <w:color w:val="333333"/>
        </w:rPr>
        <w:t xml:space="preserve">upport </w:t>
      </w:r>
      <w:r w:rsidR="00E03E9B" w:rsidRPr="00B46382">
        <w:rPr>
          <w:rFonts w:ascii="Arial" w:hAnsi="Arial" w:cs="Arial"/>
          <w:color w:val="333333"/>
        </w:rPr>
        <w:t>A</w:t>
      </w:r>
      <w:r w:rsidR="009446EA" w:rsidRPr="00B46382">
        <w:rPr>
          <w:rFonts w:ascii="Arial" w:hAnsi="Arial" w:cs="Arial"/>
          <w:color w:val="333333"/>
        </w:rPr>
        <w:t>llowanc</w:t>
      </w:r>
      <w:r w:rsidR="00A2771B" w:rsidRPr="00B46382">
        <w:rPr>
          <w:rFonts w:ascii="Arial" w:hAnsi="Arial" w:cs="Arial"/>
          <w:color w:val="333333"/>
        </w:rPr>
        <w:t>e</w:t>
      </w:r>
      <w:r w:rsidR="00E03E9B" w:rsidRPr="00B46382">
        <w:rPr>
          <w:rFonts w:ascii="Arial" w:hAnsi="Arial" w:cs="Arial"/>
          <w:color w:val="333333"/>
        </w:rPr>
        <w:t xml:space="preserve"> </w:t>
      </w:r>
      <w:r w:rsidR="009446EA" w:rsidRPr="00B46382">
        <w:rPr>
          <w:rFonts w:ascii="Arial" w:hAnsi="Arial" w:cs="Arial"/>
          <w:color w:val="333333"/>
        </w:rPr>
        <w:t xml:space="preserve">Information and Guidance) </w:t>
      </w:r>
      <w:r w:rsidR="00731058" w:rsidRPr="00B46382">
        <w:rPr>
          <w:rFonts w:ascii="Arial" w:hAnsi="Arial" w:cs="Arial"/>
          <w:color w:val="333333"/>
        </w:rPr>
        <w:t xml:space="preserve">that are designed to target </w:t>
      </w:r>
      <w:r w:rsidR="0066794B" w:rsidRPr="00B46382">
        <w:rPr>
          <w:rFonts w:ascii="Arial" w:hAnsi="Arial" w:cs="Arial"/>
          <w:color w:val="333333"/>
        </w:rPr>
        <w:t>SES</w:t>
      </w:r>
      <w:r w:rsidR="00731058" w:rsidRPr="00B46382">
        <w:rPr>
          <w:rFonts w:ascii="Arial" w:hAnsi="Arial" w:cs="Arial"/>
          <w:color w:val="333333"/>
        </w:rPr>
        <w:t xml:space="preserve"> and age</w:t>
      </w:r>
      <w:r w:rsidR="00546FBD" w:rsidRPr="00B46382">
        <w:rPr>
          <w:rFonts w:ascii="Arial" w:hAnsi="Arial" w:cs="Arial"/>
          <w:color w:val="333333"/>
        </w:rPr>
        <w:t>.</w:t>
      </w:r>
    </w:p>
    <w:p w14:paraId="0BA73BE6" w14:textId="36ECBBA0" w:rsidR="005C265E" w:rsidRPr="00B46382" w:rsidRDefault="008C224D" w:rsidP="00612E70">
      <w:pPr>
        <w:pStyle w:val="NormalWeb"/>
        <w:spacing w:before="0" w:beforeAutospacing="0" w:after="300" w:afterAutospacing="0"/>
        <w:rPr>
          <w:rFonts w:ascii="Arial" w:hAnsi="Arial" w:cs="Arial"/>
          <w:color w:val="333333"/>
        </w:rPr>
      </w:pPr>
      <w:r w:rsidRPr="00B46382">
        <w:rPr>
          <w:rFonts w:ascii="Arial" w:hAnsi="Arial" w:cs="Arial"/>
          <w:color w:val="333333"/>
        </w:rPr>
        <w:t xml:space="preserve">When comparing </w:t>
      </w:r>
      <w:r w:rsidR="00CE40EF" w:rsidRPr="00B46382">
        <w:rPr>
          <w:rFonts w:ascii="Arial" w:hAnsi="Arial" w:cs="Arial"/>
          <w:color w:val="333333"/>
        </w:rPr>
        <w:t xml:space="preserve">the </w:t>
      </w:r>
      <w:r w:rsidRPr="00B46382">
        <w:rPr>
          <w:rFonts w:ascii="Arial" w:hAnsi="Arial" w:cs="Arial"/>
          <w:color w:val="333333"/>
        </w:rPr>
        <w:t xml:space="preserve">Access of students </w:t>
      </w:r>
      <w:r w:rsidR="00AE0660" w:rsidRPr="00B46382">
        <w:rPr>
          <w:rFonts w:ascii="Arial" w:hAnsi="Arial" w:cs="Arial"/>
          <w:color w:val="333333"/>
        </w:rPr>
        <w:t xml:space="preserve">that </w:t>
      </w:r>
      <w:r w:rsidR="00CE40EF" w:rsidRPr="00B46382">
        <w:rPr>
          <w:rFonts w:ascii="Arial" w:hAnsi="Arial" w:cs="Arial"/>
          <w:color w:val="333333"/>
        </w:rPr>
        <w:t>disclos</w:t>
      </w:r>
      <w:r w:rsidR="00AE0660" w:rsidRPr="00B46382">
        <w:rPr>
          <w:rFonts w:ascii="Arial" w:hAnsi="Arial" w:cs="Arial"/>
          <w:color w:val="333333"/>
        </w:rPr>
        <w:t>e</w:t>
      </w:r>
      <w:r w:rsidR="00CE40EF" w:rsidRPr="00B46382">
        <w:rPr>
          <w:rFonts w:ascii="Arial" w:hAnsi="Arial" w:cs="Arial"/>
          <w:color w:val="333333"/>
        </w:rPr>
        <w:t xml:space="preserve"> a disability </w:t>
      </w:r>
      <w:r w:rsidR="00AE0660" w:rsidRPr="00B46382">
        <w:rPr>
          <w:rFonts w:ascii="Arial" w:hAnsi="Arial" w:cs="Arial"/>
          <w:color w:val="333333"/>
        </w:rPr>
        <w:t xml:space="preserve">with those that have not disclosed a disability </w:t>
      </w:r>
      <w:r w:rsidR="00CE40EF" w:rsidRPr="00B46382">
        <w:rPr>
          <w:rFonts w:ascii="Arial" w:hAnsi="Arial" w:cs="Arial"/>
          <w:color w:val="333333"/>
        </w:rPr>
        <w:t xml:space="preserve">on to a HE </w:t>
      </w:r>
      <w:proofErr w:type="gramStart"/>
      <w:r w:rsidR="00CE40EF" w:rsidRPr="00B46382">
        <w:rPr>
          <w:rFonts w:ascii="Arial" w:hAnsi="Arial" w:cs="Arial"/>
          <w:color w:val="333333"/>
        </w:rPr>
        <w:t>course</w:t>
      </w:r>
      <w:proofErr w:type="gramEnd"/>
      <w:r w:rsidR="00CE40EF" w:rsidRPr="00B46382">
        <w:rPr>
          <w:rFonts w:ascii="Arial" w:hAnsi="Arial" w:cs="Arial"/>
          <w:color w:val="333333"/>
        </w:rPr>
        <w:t xml:space="preserve"> at K</w:t>
      </w:r>
      <w:r w:rsidR="00AD526A" w:rsidRPr="00B46382">
        <w:rPr>
          <w:rFonts w:ascii="Arial" w:hAnsi="Arial" w:cs="Arial"/>
          <w:color w:val="333333"/>
        </w:rPr>
        <w:t>C</w:t>
      </w:r>
      <w:r w:rsidR="00CE40EF" w:rsidRPr="00B46382">
        <w:rPr>
          <w:rFonts w:ascii="Arial" w:hAnsi="Arial" w:cs="Arial"/>
          <w:color w:val="333333"/>
        </w:rPr>
        <w:t xml:space="preserve"> </w:t>
      </w:r>
      <w:r w:rsidR="00444DE3" w:rsidRPr="00B46382">
        <w:rPr>
          <w:rFonts w:ascii="Arial" w:hAnsi="Arial" w:cs="Arial"/>
          <w:color w:val="333333"/>
        </w:rPr>
        <w:t>with the</w:t>
      </w:r>
      <w:r w:rsidR="00CE40EF" w:rsidRPr="00B46382">
        <w:rPr>
          <w:rFonts w:ascii="Arial" w:hAnsi="Arial" w:cs="Arial"/>
          <w:color w:val="333333"/>
        </w:rPr>
        <w:t xml:space="preserve"> sector-wide data</w:t>
      </w:r>
      <w:r w:rsidR="00C37A1F" w:rsidRPr="00B46382">
        <w:rPr>
          <w:rFonts w:ascii="Arial" w:hAnsi="Arial" w:cs="Arial"/>
          <w:color w:val="333333"/>
        </w:rPr>
        <w:t xml:space="preserve"> there is a general difference in trend </w:t>
      </w:r>
      <w:r w:rsidR="00444DE3" w:rsidRPr="00B46382">
        <w:rPr>
          <w:rFonts w:ascii="Arial" w:hAnsi="Arial" w:cs="Arial"/>
          <w:color w:val="333333"/>
        </w:rPr>
        <w:t>between</w:t>
      </w:r>
      <w:r w:rsidR="00C37A1F" w:rsidRPr="00B46382">
        <w:rPr>
          <w:rFonts w:ascii="Arial" w:hAnsi="Arial" w:cs="Arial"/>
          <w:color w:val="333333"/>
        </w:rPr>
        <w:t xml:space="preserve"> our part-time and full-time provisions.</w:t>
      </w:r>
      <w:r w:rsidR="005C265E" w:rsidRPr="00B46382">
        <w:rPr>
          <w:rFonts w:ascii="Arial" w:hAnsi="Arial" w:cs="Arial"/>
          <w:color w:val="333333"/>
        </w:rPr>
        <w:t xml:space="preserve"> </w:t>
      </w:r>
    </w:p>
    <w:p w14:paraId="792AEF44" w14:textId="68C3038E" w:rsidR="00241E49" w:rsidRPr="00B46382" w:rsidRDefault="00985549" w:rsidP="00612E70">
      <w:pPr>
        <w:pStyle w:val="NormalWeb"/>
        <w:spacing w:before="0" w:beforeAutospacing="0" w:after="300" w:afterAutospacing="0"/>
        <w:rPr>
          <w:rFonts w:ascii="Arial" w:hAnsi="Arial" w:cs="Arial"/>
          <w:color w:val="333333"/>
        </w:rPr>
      </w:pPr>
      <w:r w:rsidRPr="00B46382">
        <w:rPr>
          <w:rFonts w:ascii="Arial" w:hAnsi="Arial" w:cs="Arial"/>
          <w:color w:val="333333"/>
        </w:rPr>
        <w:t xml:space="preserve">For part-time provision, the </w:t>
      </w:r>
      <w:r w:rsidR="00A474DE" w:rsidRPr="00B46382">
        <w:rPr>
          <w:rFonts w:ascii="Arial" w:hAnsi="Arial" w:cs="Arial"/>
          <w:color w:val="333333"/>
        </w:rPr>
        <w:t xml:space="preserve">percentage of disabled students accessing HE at </w:t>
      </w:r>
      <w:r w:rsidRPr="00B46382">
        <w:rPr>
          <w:rFonts w:ascii="Arial" w:hAnsi="Arial" w:cs="Arial"/>
          <w:color w:val="333333"/>
        </w:rPr>
        <w:t>K</w:t>
      </w:r>
      <w:r w:rsidR="00AD526A" w:rsidRPr="00B46382">
        <w:rPr>
          <w:rFonts w:ascii="Arial" w:hAnsi="Arial" w:cs="Arial"/>
          <w:color w:val="333333"/>
        </w:rPr>
        <w:t>C</w:t>
      </w:r>
      <w:r w:rsidR="0084763D" w:rsidRPr="00B46382">
        <w:rPr>
          <w:rFonts w:ascii="Arial" w:hAnsi="Arial" w:cs="Arial"/>
          <w:color w:val="333333"/>
        </w:rPr>
        <w:t xml:space="preserve"> </w:t>
      </w:r>
      <w:r w:rsidR="0029416F" w:rsidRPr="00B46382">
        <w:rPr>
          <w:rFonts w:ascii="Arial" w:hAnsi="Arial" w:cs="Arial"/>
          <w:color w:val="333333"/>
        </w:rPr>
        <w:t>since 2016-17 has been less than sector w</w:t>
      </w:r>
      <w:r w:rsidR="0048712C" w:rsidRPr="00B46382">
        <w:rPr>
          <w:rFonts w:ascii="Arial" w:hAnsi="Arial" w:cs="Arial"/>
          <w:color w:val="333333"/>
        </w:rPr>
        <w:t xml:space="preserve">ide data. More recently, 2021-22 </w:t>
      </w:r>
      <w:r w:rsidR="003D6245" w:rsidRPr="00B46382">
        <w:rPr>
          <w:rFonts w:ascii="Arial" w:hAnsi="Arial" w:cs="Arial"/>
          <w:color w:val="333333"/>
        </w:rPr>
        <w:t xml:space="preserve">sector wide data saw 19.7% of disabled students accessing HE compared to </w:t>
      </w:r>
      <w:r w:rsidR="008634A1" w:rsidRPr="00B46382">
        <w:rPr>
          <w:rFonts w:ascii="Arial" w:hAnsi="Arial" w:cs="Arial"/>
          <w:color w:val="333333"/>
        </w:rPr>
        <w:t>8% at K</w:t>
      </w:r>
      <w:r w:rsidR="00AD526A" w:rsidRPr="00B46382">
        <w:rPr>
          <w:rFonts w:ascii="Arial" w:hAnsi="Arial" w:cs="Arial"/>
          <w:color w:val="333333"/>
        </w:rPr>
        <w:t>C</w:t>
      </w:r>
      <w:r w:rsidR="008634A1" w:rsidRPr="00B46382">
        <w:rPr>
          <w:rFonts w:ascii="Arial" w:hAnsi="Arial" w:cs="Arial"/>
          <w:color w:val="333333"/>
        </w:rPr>
        <w:t xml:space="preserve"> (Difference -11.8%).</w:t>
      </w:r>
      <w:r w:rsidR="00AC1A68" w:rsidRPr="00B46382">
        <w:rPr>
          <w:rFonts w:ascii="Arial" w:hAnsi="Arial" w:cs="Arial"/>
          <w:color w:val="333333"/>
        </w:rPr>
        <w:t xml:space="preserve"> Yet in contrast, our full-time provision</w:t>
      </w:r>
      <w:r w:rsidR="00191390" w:rsidRPr="00B46382">
        <w:rPr>
          <w:rFonts w:ascii="Arial" w:hAnsi="Arial" w:cs="Arial"/>
          <w:color w:val="333333"/>
        </w:rPr>
        <w:t>, the percentage of disabled students accessing HE at K</w:t>
      </w:r>
      <w:r w:rsidR="00AD526A" w:rsidRPr="00B46382">
        <w:rPr>
          <w:rFonts w:ascii="Arial" w:hAnsi="Arial" w:cs="Arial"/>
          <w:color w:val="333333"/>
        </w:rPr>
        <w:t>C</w:t>
      </w:r>
      <w:r w:rsidR="00191390" w:rsidRPr="00B46382">
        <w:rPr>
          <w:rFonts w:ascii="Arial" w:hAnsi="Arial" w:cs="Arial"/>
          <w:color w:val="333333"/>
        </w:rPr>
        <w:t xml:space="preserve"> since 2016-17 has been more than sector wide data</w:t>
      </w:r>
      <w:r w:rsidR="00B87BDD" w:rsidRPr="00B46382">
        <w:rPr>
          <w:rFonts w:ascii="Arial" w:hAnsi="Arial" w:cs="Arial"/>
          <w:color w:val="333333"/>
        </w:rPr>
        <w:t xml:space="preserve">. More recently, 2021-22 sector wide data saw 17.4% of disabled students accessing HE compared to </w:t>
      </w:r>
      <w:r w:rsidR="004429A4" w:rsidRPr="00B46382">
        <w:rPr>
          <w:rFonts w:ascii="Arial" w:hAnsi="Arial" w:cs="Arial"/>
          <w:color w:val="333333"/>
        </w:rPr>
        <w:t>35.9</w:t>
      </w:r>
      <w:r w:rsidR="00B87BDD" w:rsidRPr="00B46382">
        <w:rPr>
          <w:rFonts w:ascii="Arial" w:hAnsi="Arial" w:cs="Arial"/>
          <w:color w:val="333333"/>
        </w:rPr>
        <w:t>% at K</w:t>
      </w:r>
      <w:r w:rsidR="00AD526A" w:rsidRPr="00B46382">
        <w:rPr>
          <w:rFonts w:ascii="Arial" w:hAnsi="Arial" w:cs="Arial"/>
          <w:color w:val="333333"/>
        </w:rPr>
        <w:t>C</w:t>
      </w:r>
      <w:r w:rsidR="00B87BDD" w:rsidRPr="00B46382">
        <w:rPr>
          <w:rFonts w:ascii="Arial" w:hAnsi="Arial" w:cs="Arial"/>
          <w:color w:val="333333"/>
        </w:rPr>
        <w:t xml:space="preserve"> (Difference </w:t>
      </w:r>
      <w:r w:rsidR="00AF6B9C" w:rsidRPr="00B46382">
        <w:rPr>
          <w:rFonts w:ascii="Arial" w:hAnsi="Arial" w:cs="Arial"/>
          <w:color w:val="333333"/>
        </w:rPr>
        <w:t>18.5</w:t>
      </w:r>
      <w:r w:rsidR="00B87BDD" w:rsidRPr="00B46382">
        <w:rPr>
          <w:rFonts w:ascii="Arial" w:hAnsi="Arial" w:cs="Arial"/>
          <w:color w:val="333333"/>
        </w:rPr>
        <w:t>%).</w:t>
      </w:r>
      <w:r w:rsidR="00D12887" w:rsidRPr="00B46382">
        <w:rPr>
          <w:rFonts w:ascii="Arial" w:hAnsi="Arial" w:cs="Arial"/>
          <w:color w:val="333333"/>
        </w:rPr>
        <w:t xml:space="preserve"> </w:t>
      </w:r>
      <w:r w:rsidR="00876FEA" w:rsidRPr="00B46382">
        <w:rPr>
          <w:rFonts w:ascii="Arial" w:hAnsi="Arial" w:cs="Arial"/>
          <w:color w:val="333333"/>
        </w:rPr>
        <w:t xml:space="preserve">Considering that the achievement </w:t>
      </w:r>
      <w:r w:rsidR="00422943" w:rsidRPr="00B46382">
        <w:rPr>
          <w:rFonts w:ascii="Arial" w:hAnsi="Arial" w:cs="Arial"/>
          <w:color w:val="333333"/>
        </w:rPr>
        <w:t xml:space="preserve">gap between students that disclose a disability, difficulty or health problem and those that do not is narrowing and we have </w:t>
      </w:r>
      <w:r w:rsidR="00DC036E" w:rsidRPr="00B46382">
        <w:rPr>
          <w:rFonts w:ascii="Arial" w:hAnsi="Arial" w:cs="Arial"/>
          <w:color w:val="333333"/>
        </w:rPr>
        <w:t>experienced a</w:t>
      </w:r>
      <w:r w:rsidR="00454763" w:rsidRPr="00B46382">
        <w:rPr>
          <w:rFonts w:ascii="Arial" w:hAnsi="Arial" w:cs="Arial"/>
          <w:color w:val="333333"/>
        </w:rPr>
        <w:t xml:space="preserve"> percentage </w:t>
      </w:r>
      <w:r w:rsidR="00DC036E" w:rsidRPr="00B46382">
        <w:rPr>
          <w:rFonts w:ascii="Arial" w:hAnsi="Arial" w:cs="Arial"/>
          <w:color w:val="333333"/>
        </w:rPr>
        <w:t xml:space="preserve">increase in </w:t>
      </w:r>
      <w:r w:rsidR="00454763" w:rsidRPr="00B46382">
        <w:rPr>
          <w:rFonts w:ascii="Arial" w:hAnsi="Arial" w:cs="Arial"/>
          <w:color w:val="333333"/>
        </w:rPr>
        <w:t xml:space="preserve">the access of disabled students on full time courses, we are </w:t>
      </w:r>
      <w:r w:rsidR="00CB4D87" w:rsidRPr="00B46382">
        <w:rPr>
          <w:rFonts w:ascii="Arial" w:hAnsi="Arial" w:cs="Arial"/>
          <w:color w:val="333333"/>
        </w:rPr>
        <w:t>confident that we a supporting this under-represented group well to achieve</w:t>
      </w:r>
      <w:r w:rsidR="004D5116" w:rsidRPr="00B46382">
        <w:rPr>
          <w:rFonts w:ascii="Arial" w:hAnsi="Arial" w:cs="Arial"/>
          <w:color w:val="333333"/>
        </w:rPr>
        <w:t xml:space="preserve"> and will continue to do so </w:t>
      </w:r>
      <w:r w:rsidR="000C2598" w:rsidRPr="00B46382">
        <w:rPr>
          <w:rFonts w:ascii="Arial" w:hAnsi="Arial" w:cs="Arial"/>
          <w:color w:val="333333"/>
        </w:rPr>
        <w:t>through our targeted interventions in this APP</w:t>
      </w:r>
      <w:r w:rsidR="00744275" w:rsidRPr="00B46382">
        <w:rPr>
          <w:rFonts w:ascii="Arial" w:hAnsi="Arial" w:cs="Arial"/>
          <w:color w:val="333333"/>
        </w:rPr>
        <w:t xml:space="preserve"> (</w:t>
      </w:r>
      <w:r w:rsidR="00CA1D06" w:rsidRPr="00B46382">
        <w:rPr>
          <w:rFonts w:ascii="Arial" w:hAnsi="Arial" w:cs="Arial"/>
          <w:color w:val="333333"/>
        </w:rPr>
        <w:t>e.g.</w:t>
      </w:r>
      <w:r w:rsidR="00744275" w:rsidRPr="00B46382">
        <w:rPr>
          <w:rFonts w:ascii="Arial" w:hAnsi="Arial" w:cs="Arial"/>
          <w:color w:val="333333"/>
        </w:rPr>
        <w:t xml:space="preserve"> support from Preparation for Adulthood Coach</w:t>
      </w:r>
      <w:r w:rsidR="00196202" w:rsidRPr="00B46382">
        <w:rPr>
          <w:rFonts w:ascii="Arial" w:hAnsi="Arial" w:cs="Arial"/>
          <w:color w:val="333333"/>
        </w:rPr>
        <w:t>).</w:t>
      </w:r>
    </w:p>
    <w:p w14:paraId="6898F576" w14:textId="2BB06E65" w:rsidR="005A6225" w:rsidRPr="00B46382" w:rsidRDefault="0055724C" w:rsidP="0055724C">
      <w:pPr>
        <w:pStyle w:val="Heading3"/>
      </w:pPr>
      <w:r>
        <w:t xml:space="preserve">9.5 </w:t>
      </w:r>
      <w:r w:rsidR="005A6225" w:rsidRPr="00B46382">
        <w:t>Gender</w:t>
      </w:r>
    </w:p>
    <w:p w14:paraId="1C432768" w14:textId="1A1A5B7F" w:rsidR="00792B68" w:rsidRPr="00B46382" w:rsidRDefault="005A6225" w:rsidP="007E40BA">
      <w:pPr>
        <w:pStyle w:val="NormalWeb"/>
        <w:spacing w:before="0" w:beforeAutospacing="0" w:after="300" w:afterAutospacing="0"/>
        <w:rPr>
          <w:rFonts w:ascii="Arial" w:hAnsi="Arial" w:cs="Arial"/>
          <w:color w:val="333333"/>
        </w:rPr>
      </w:pPr>
      <w:r w:rsidRPr="00B46382">
        <w:rPr>
          <w:rFonts w:ascii="Arial" w:hAnsi="Arial" w:cs="Arial"/>
          <w:color w:val="333333"/>
        </w:rPr>
        <w:t>We are aware that gender</w:t>
      </w:r>
      <w:r w:rsidR="00695EAC" w:rsidRPr="00B46382">
        <w:rPr>
          <w:rFonts w:ascii="Arial" w:hAnsi="Arial" w:cs="Arial"/>
          <w:color w:val="333333"/>
        </w:rPr>
        <w:t xml:space="preserve"> can</w:t>
      </w:r>
      <w:r w:rsidRPr="00B46382">
        <w:rPr>
          <w:rFonts w:ascii="Arial" w:hAnsi="Arial" w:cs="Arial"/>
          <w:color w:val="333333"/>
        </w:rPr>
        <w:t xml:space="preserve"> provide a risk of equal opportunity for access and participation </w:t>
      </w:r>
      <w:r w:rsidR="00F63464" w:rsidRPr="00B46382">
        <w:rPr>
          <w:rFonts w:ascii="Arial" w:hAnsi="Arial" w:cs="Arial"/>
          <w:color w:val="333333"/>
        </w:rPr>
        <w:t>(</w:t>
      </w:r>
      <w:r w:rsidRPr="00B46382">
        <w:rPr>
          <w:rFonts w:ascii="Arial" w:hAnsi="Arial" w:cs="Arial"/>
          <w:color w:val="333333"/>
        </w:rPr>
        <w:t>EORR</w:t>
      </w:r>
      <w:r w:rsidR="00F63464" w:rsidRPr="00B46382">
        <w:rPr>
          <w:rFonts w:ascii="Arial" w:hAnsi="Arial" w:cs="Arial"/>
          <w:color w:val="333333"/>
        </w:rPr>
        <w:t>)</w:t>
      </w:r>
      <w:r w:rsidR="004D12F5" w:rsidRPr="00B46382">
        <w:rPr>
          <w:rFonts w:ascii="Arial" w:hAnsi="Arial" w:cs="Arial"/>
          <w:color w:val="333333"/>
        </w:rPr>
        <w:t>.</w:t>
      </w:r>
      <w:r w:rsidR="004F5A80" w:rsidRPr="00B46382">
        <w:rPr>
          <w:rFonts w:ascii="Arial" w:hAnsi="Arial" w:cs="Arial"/>
          <w:color w:val="333333"/>
        </w:rPr>
        <w:t xml:space="preserve"> </w:t>
      </w:r>
      <w:r w:rsidRPr="00B46382">
        <w:rPr>
          <w:rFonts w:ascii="Arial" w:hAnsi="Arial" w:cs="Arial"/>
          <w:color w:val="333333"/>
        </w:rPr>
        <w:t>Our summary and analysis of our data shows a 5-year</w:t>
      </w:r>
      <w:r w:rsidR="00772DDF" w:rsidRPr="00B46382">
        <w:rPr>
          <w:rFonts w:ascii="Arial" w:hAnsi="Arial" w:cs="Arial"/>
          <w:color w:val="333333"/>
        </w:rPr>
        <w:t xml:space="preserve"> </w:t>
      </w:r>
      <w:r w:rsidRPr="00B46382">
        <w:rPr>
          <w:rFonts w:ascii="Arial" w:hAnsi="Arial" w:cs="Arial"/>
          <w:color w:val="333333"/>
        </w:rPr>
        <w:t xml:space="preserve">trend from 2018/19 to 2022/23 whereby </w:t>
      </w:r>
      <w:r w:rsidR="00772DDF" w:rsidRPr="00B46382">
        <w:rPr>
          <w:rFonts w:ascii="Arial" w:hAnsi="Arial" w:cs="Arial"/>
          <w:color w:val="333333"/>
        </w:rPr>
        <w:t xml:space="preserve">female </w:t>
      </w:r>
      <w:r w:rsidRPr="00B46382">
        <w:rPr>
          <w:rFonts w:ascii="Arial" w:hAnsi="Arial" w:cs="Arial"/>
          <w:color w:val="333333"/>
        </w:rPr>
        <w:t xml:space="preserve">students have consistently higher achievement than </w:t>
      </w:r>
      <w:r w:rsidR="00772DDF" w:rsidRPr="00B46382">
        <w:rPr>
          <w:rFonts w:ascii="Arial" w:hAnsi="Arial" w:cs="Arial"/>
          <w:color w:val="333333"/>
        </w:rPr>
        <w:t>male</w:t>
      </w:r>
      <w:r w:rsidRPr="00B46382">
        <w:rPr>
          <w:rFonts w:ascii="Arial" w:hAnsi="Arial" w:cs="Arial"/>
          <w:color w:val="333333"/>
        </w:rPr>
        <w:t xml:space="preserve"> students</w:t>
      </w:r>
      <w:r w:rsidR="000D1778" w:rsidRPr="00B46382">
        <w:rPr>
          <w:rFonts w:ascii="Arial" w:hAnsi="Arial" w:cs="Arial"/>
          <w:color w:val="333333"/>
        </w:rPr>
        <w:t xml:space="preserve"> </w:t>
      </w:r>
      <w:r w:rsidR="007761B9" w:rsidRPr="00B46382">
        <w:rPr>
          <w:rFonts w:ascii="Arial" w:hAnsi="Arial" w:cs="Arial"/>
          <w:color w:val="333333"/>
        </w:rPr>
        <w:t>(</w:t>
      </w:r>
      <w:r w:rsidR="000D1778" w:rsidRPr="00B46382">
        <w:rPr>
          <w:rFonts w:ascii="Arial" w:hAnsi="Arial" w:cs="Arial"/>
          <w:color w:val="333333"/>
        </w:rPr>
        <w:t>except</w:t>
      </w:r>
      <w:r w:rsidR="002771D2" w:rsidRPr="00B46382">
        <w:rPr>
          <w:rFonts w:ascii="Arial" w:hAnsi="Arial" w:cs="Arial"/>
          <w:color w:val="333333"/>
        </w:rPr>
        <w:t xml:space="preserve"> </w:t>
      </w:r>
      <w:r w:rsidR="007761B9" w:rsidRPr="00B46382">
        <w:rPr>
          <w:rFonts w:ascii="Arial" w:hAnsi="Arial" w:cs="Arial"/>
          <w:color w:val="333333"/>
        </w:rPr>
        <w:t xml:space="preserve">2021/22 </w:t>
      </w:r>
      <w:r w:rsidR="000D1778" w:rsidRPr="00B46382">
        <w:rPr>
          <w:rFonts w:ascii="Arial" w:hAnsi="Arial" w:cs="Arial"/>
          <w:color w:val="333333"/>
        </w:rPr>
        <w:t xml:space="preserve">where </w:t>
      </w:r>
      <w:r w:rsidR="007761B9" w:rsidRPr="00B46382">
        <w:rPr>
          <w:rFonts w:ascii="Arial" w:hAnsi="Arial" w:cs="Arial"/>
          <w:color w:val="333333"/>
        </w:rPr>
        <w:t>male achievement was higher than female achievement).</w:t>
      </w:r>
      <w:r w:rsidRPr="00B46382">
        <w:rPr>
          <w:rFonts w:ascii="Arial" w:hAnsi="Arial" w:cs="Arial"/>
          <w:color w:val="333333"/>
        </w:rPr>
        <w:t xml:space="preserve"> </w:t>
      </w:r>
      <w:r w:rsidR="00172870" w:rsidRPr="00B46382">
        <w:rPr>
          <w:rFonts w:ascii="Arial" w:hAnsi="Arial" w:cs="Arial"/>
          <w:color w:val="333333"/>
        </w:rPr>
        <w:t xml:space="preserve">This may be associated with the </w:t>
      </w:r>
      <w:r w:rsidR="008A7CDF" w:rsidRPr="00B46382">
        <w:rPr>
          <w:rFonts w:ascii="Arial" w:hAnsi="Arial" w:cs="Arial"/>
          <w:color w:val="333333"/>
        </w:rPr>
        <w:t>fact that more females enter HE at 19+ than males (Widening Participation in HE, 2023). Our</w:t>
      </w:r>
      <w:r w:rsidRPr="00B46382">
        <w:rPr>
          <w:rFonts w:ascii="Arial" w:hAnsi="Arial" w:cs="Arial"/>
          <w:color w:val="333333"/>
        </w:rPr>
        <w:t xml:space="preserve"> achievement gap between </w:t>
      </w:r>
      <w:r w:rsidR="00CB59DC" w:rsidRPr="00B46382">
        <w:rPr>
          <w:rFonts w:ascii="Arial" w:hAnsi="Arial" w:cs="Arial"/>
          <w:color w:val="333333"/>
        </w:rPr>
        <w:t>males and females</w:t>
      </w:r>
      <w:r w:rsidRPr="00B46382">
        <w:rPr>
          <w:rFonts w:ascii="Arial" w:hAnsi="Arial" w:cs="Arial"/>
          <w:color w:val="333333"/>
        </w:rPr>
        <w:t xml:space="preserve"> has narrowed from </w:t>
      </w:r>
      <w:r w:rsidR="00822AEF" w:rsidRPr="00B46382">
        <w:rPr>
          <w:rFonts w:ascii="Arial" w:hAnsi="Arial" w:cs="Arial"/>
          <w:color w:val="333333"/>
        </w:rPr>
        <w:t>14.3%</w:t>
      </w:r>
      <w:r w:rsidRPr="00B46382">
        <w:rPr>
          <w:rFonts w:ascii="Arial" w:hAnsi="Arial" w:cs="Arial"/>
          <w:color w:val="333333"/>
        </w:rPr>
        <w:t xml:space="preserve"> in 20</w:t>
      </w:r>
      <w:r w:rsidR="00822AEF" w:rsidRPr="00B46382">
        <w:rPr>
          <w:rFonts w:ascii="Arial" w:hAnsi="Arial" w:cs="Arial"/>
          <w:color w:val="333333"/>
        </w:rPr>
        <w:t>18/19</w:t>
      </w:r>
      <w:r w:rsidRPr="00B46382">
        <w:rPr>
          <w:rFonts w:ascii="Arial" w:hAnsi="Arial" w:cs="Arial"/>
          <w:color w:val="333333"/>
        </w:rPr>
        <w:t xml:space="preserve"> to </w:t>
      </w:r>
      <w:r w:rsidR="00475DC7" w:rsidRPr="00B46382">
        <w:rPr>
          <w:rFonts w:ascii="Arial" w:hAnsi="Arial" w:cs="Arial"/>
          <w:color w:val="333333"/>
        </w:rPr>
        <w:t>3.89</w:t>
      </w:r>
      <w:r w:rsidRPr="00B46382">
        <w:rPr>
          <w:rFonts w:ascii="Arial" w:hAnsi="Arial" w:cs="Arial"/>
          <w:color w:val="333333"/>
        </w:rPr>
        <w:t xml:space="preserve">% in 2022/23. Due to the continual reduction in percentage achievement </w:t>
      </w:r>
      <w:r w:rsidR="00D31D6A" w:rsidRPr="00B46382">
        <w:rPr>
          <w:rFonts w:ascii="Arial" w:hAnsi="Arial" w:cs="Arial"/>
          <w:color w:val="333333"/>
        </w:rPr>
        <w:t xml:space="preserve">gap </w:t>
      </w:r>
      <w:r w:rsidRPr="00B46382">
        <w:rPr>
          <w:rFonts w:ascii="Arial" w:hAnsi="Arial" w:cs="Arial"/>
          <w:color w:val="333333"/>
        </w:rPr>
        <w:t xml:space="preserve">over this time, </w:t>
      </w:r>
      <w:r w:rsidR="00613D0B" w:rsidRPr="00B46382">
        <w:rPr>
          <w:rFonts w:ascii="Arial" w:hAnsi="Arial" w:cs="Arial"/>
          <w:color w:val="333333"/>
        </w:rPr>
        <w:t xml:space="preserve">gender </w:t>
      </w:r>
      <w:r w:rsidRPr="00B46382">
        <w:rPr>
          <w:rFonts w:ascii="Arial" w:hAnsi="Arial" w:cs="Arial"/>
          <w:color w:val="333333"/>
        </w:rPr>
        <w:t xml:space="preserve">has not been </w:t>
      </w:r>
      <w:r w:rsidR="00613D0B" w:rsidRPr="00B46382">
        <w:rPr>
          <w:rFonts w:ascii="Arial" w:hAnsi="Arial" w:cs="Arial"/>
          <w:color w:val="333333"/>
        </w:rPr>
        <w:t>identified as a main</w:t>
      </w:r>
      <w:r w:rsidRPr="00B46382">
        <w:rPr>
          <w:rFonts w:ascii="Arial" w:hAnsi="Arial" w:cs="Arial"/>
          <w:color w:val="333333"/>
        </w:rPr>
        <w:t xml:space="preserve"> target in </w:t>
      </w:r>
      <w:r w:rsidR="003F13C1" w:rsidRPr="00B46382">
        <w:rPr>
          <w:rFonts w:ascii="Arial" w:hAnsi="Arial" w:cs="Arial"/>
          <w:color w:val="333333"/>
        </w:rPr>
        <w:t>our</w:t>
      </w:r>
      <w:r w:rsidRPr="00B46382">
        <w:rPr>
          <w:rFonts w:ascii="Arial" w:hAnsi="Arial" w:cs="Arial"/>
          <w:color w:val="333333"/>
        </w:rPr>
        <w:t xml:space="preserve"> APP. Despite this, </w:t>
      </w:r>
      <w:r w:rsidR="00FF0E32" w:rsidRPr="00B46382">
        <w:rPr>
          <w:rFonts w:ascii="Arial" w:hAnsi="Arial" w:cs="Arial"/>
          <w:color w:val="333333"/>
        </w:rPr>
        <w:t xml:space="preserve">male </w:t>
      </w:r>
      <w:r w:rsidRPr="00B46382">
        <w:rPr>
          <w:rFonts w:ascii="Arial" w:hAnsi="Arial" w:cs="Arial"/>
          <w:color w:val="333333"/>
        </w:rPr>
        <w:t xml:space="preserve">students </w:t>
      </w:r>
      <w:r w:rsidR="005573FB" w:rsidRPr="00B46382">
        <w:rPr>
          <w:rFonts w:ascii="Arial" w:hAnsi="Arial" w:cs="Arial"/>
          <w:color w:val="333333"/>
        </w:rPr>
        <w:t xml:space="preserve">who are generally shown to have lower achievement </w:t>
      </w:r>
      <w:r w:rsidRPr="00B46382">
        <w:rPr>
          <w:rFonts w:ascii="Arial" w:hAnsi="Arial" w:cs="Arial"/>
          <w:color w:val="333333"/>
        </w:rPr>
        <w:t xml:space="preserve">will also continue to benefit from the theory of change interventions that are designed to target </w:t>
      </w:r>
      <w:r w:rsidR="00F06D88" w:rsidRPr="00B46382">
        <w:rPr>
          <w:rFonts w:ascii="Arial" w:hAnsi="Arial" w:cs="Arial"/>
          <w:color w:val="333333"/>
        </w:rPr>
        <w:t>SES</w:t>
      </w:r>
      <w:r w:rsidRPr="00B46382">
        <w:rPr>
          <w:rFonts w:ascii="Arial" w:hAnsi="Arial" w:cs="Arial"/>
          <w:color w:val="333333"/>
        </w:rPr>
        <w:t xml:space="preserve"> and age</w:t>
      </w:r>
      <w:r w:rsidR="003E2DBE" w:rsidRPr="00B46382">
        <w:rPr>
          <w:rFonts w:ascii="Arial" w:hAnsi="Arial" w:cs="Arial"/>
          <w:color w:val="333333"/>
        </w:rPr>
        <w:t>.</w:t>
      </w:r>
      <w:r w:rsidR="00FF0E32" w:rsidRPr="00B46382">
        <w:rPr>
          <w:rFonts w:ascii="Arial" w:hAnsi="Arial" w:cs="Arial"/>
          <w:color w:val="333333"/>
        </w:rPr>
        <w:t xml:space="preserve"> Particularly, </w:t>
      </w:r>
      <w:r w:rsidR="000D7953" w:rsidRPr="00B46382">
        <w:rPr>
          <w:rFonts w:ascii="Arial" w:hAnsi="Arial" w:cs="Arial"/>
          <w:color w:val="333333"/>
        </w:rPr>
        <w:t>K</w:t>
      </w:r>
      <w:r w:rsidR="00AD526A" w:rsidRPr="00B46382">
        <w:rPr>
          <w:rFonts w:ascii="Arial" w:hAnsi="Arial" w:cs="Arial"/>
          <w:color w:val="333333"/>
        </w:rPr>
        <w:t>C</w:t>
      </w:r>
      <w:r w:rsidR="000D7953" w:rsidRPr="00B46382">
        <w:rPr>
          <w:rFonts w:ascii="Arial" w:hAnsi="Arial" w:cs="Arial"/>
          <w:color w:val="333333"/>
        </w:rPr>
        <w:t xml:space="preserve"> </w:t>
      </w:r>
      <w:r w:rsidR="00DE6D04" w:rsidRPr="00B46382">
        <w:rPr>
          <w:rFonts w:ascii="Arial" w:hAnsi="Arial" w:cs="Arial"/>
          <w:color w:val="333333"/>
        </w:rPr>
        <w:t>through our membership with GHWY</w:t>
      </w:r>
      <w:r w:rsidR="00E076D0" w:rsidRPr="00B46382">
        <w:rPr>
          <w:rFonts w:ascii="Arial" w:hAnsi="Arial" w:cs="Arial"/>
          <w:color w:val="333333"/>
        </w:rPr>
        <w:t>,</w:t>
      </w:r>
      <w:r w:rsidR="00DE6D04" w:rsidRPr="00B46382">
        <w:rPr>
          <w:rFonts w:ascii="Arial" w:hAnsi="Arial" w:cs="Arial"/>
          <w:color w:val="333333"/>
        </w:rPr>
        <w:t xml:space="preserve"> </w:t>
      </w:r>
      <w:r w:rsidR="000D7953" w:rsidRPr="00B46382">
        <w:rPr>
          <w:rFonts w:ascii="Arial" w:hAnsi="Arial" w:cs="Arial"/>
          <w:color w:val="333333"/>
        </w:rPr>
        <w:t xml:space="preserve">is contributing to supporting the access </w:t>
      </w:r>
      <w:r w:rsidR="004372B2" w:rsidRPr="00B46382">
        <w:rPr>
          <w:rFonts w:ascii="Arial" w:hAnsi="Arial" w:cs="Arial"/>
          <w:color w:val="333333"/>
        </w:rPr>
        <w:t xml:space="preserve">and participation </w:t>
      </w:r>
      <w:r w:rsidR="00DE6D04" w:rsidRPr="00B46382">
        <w:rPr>
          <w:rFonts w:ascii="Arial" w:hAnsi="Arial" w:cs="Arial"/>
          <w:color w:val="333333"/>
        </w:rPr>
        <w:t xml:space="preserve">of boys through </w:t>
      </w:r>
      <w:r w:rsidR="00CA3F6A" w:rsidRPr="00B46382">
        <w:rPr>
          <w:rFonts w:ascii="Arial" w:hAnsi="Arial" w:cs="Arial"/>
          <w:color w:val="333333"/>
        </w:rPr>
        <w:t xml:space="preserve">outreach attainment raising activities </w:t>
      </w:r>
      <w:r w:rsidR="002F25FC" w:rsidRPr="00B46382">
        <w:rPr>
          <w:rFonts w:ascii="Arial" w:hAnsi="Arial" w:cs="Arial"/>
          <w:color w:val="333333"/>
        </w:rPr>
        <w:t xml:space="preserve">with local schools </w:t>
      </w:r>
      <w:r w:rsidR="00081F24" w:rsidRPr="00B46382">
        <w:rPr>
          <w:rFonts w:ascii="Arial" w:hAnsi="Arial" w:cs="Arial"/>
          <w:color w:val="333333"/>
        </w:rPr>
        <w:t>aimed at</w:t>
      </w:r>
      <w:r w:rsidR="00082F65" w:rsidRPr="00B46382">
        <w:rPr>
          <w:rFonts w:ascii="Arial" w:hAnsi="Arial" w:cs="Arial"/>
          <w:color w:val="333333"/>
        </w:rPr>
        <w:t xml:space="preserve"> </w:t>
      </w:r>
      <w:r w:rsidR="00B6399C" w:rsidRPr="00B46382">
        <w:rPr>
          <w:rFonts w:ascii="Arial" w:hAnsi="Arial" w:cs="Arial"/>
          <w:color w:val="333333"/>
        </w:rPr>
        <w:t xml:space="preserve">boys </w:t>
      </w:r>
      <w:r w:rsidR="00A67821" w:rsidRPr="00B46382">
        <w:rPr>
          <w:rFonts w:ascii="Arial" w:hAnsi="Arial" w:cs="Arial"/>
          <w:color w:val="333333"/>
        </w:rPr>
        <w:t xml:space="preserve">who are eligible for </w:t>
      </w:r>
      <w:r w:rsidR="00B6399C" w:rsidRPr="00B46382">
        <w:rPr>
          <w:rFonts w:ascii="Arial" w:hAnsi="Arial" w:cs="Arial"/>
          <w:color w:val="333333"/>
        </w:rPr>
        <w:t>FSMs</w:t>
      </w:r>
      <w:r w:rsidR="00082F65" w:rsidRPr="00B46382">
        <w:rPr>
          <w:rFonts w:ascii="Arial" w:hAnsi="Arial" w:cs="Arial"/>
          <w:color w:val="333333"/>
        </w:rPr>
        <w:t>.</w:t>
      </w:r>
      <w:r w:rsidR="00A67821" w:rsidRPr="00B46382">
        <w:rPr>
          <w:rFonts w:ascii="Arial" w:hAnsi="Arial" w:cs="Arial"/>
          <w:color w:val="333333"/>
        </w:rPr>
        <w:t xml:space="preserve"> </w:t>
      </w:r>
      <w:r w:rsidR="00CA3F6A" w:rsidRPr="00B46382">
        <w:rPr>
          <w:rFonts w:ascii="Arial" w:hAnsi="Arial" w:cs="Arial"/>
          <w:color w:val="333333"/>
        </w:rPr>
        <w:t>Males</w:t>
      </w:r>
      <w:r w:rsidR="00615566" w:rsidRPr="00B46382">
        <w:rPr>
          <w:rFonts w:ascii="Arial" w:hAnsi="Arial" w:cs="Arial"/>
          <w:color w:val="333333"/>
        </w:rPr>
        <w:t xml:space="preserve"> in receipt of FSMs </w:t>
      </w:r>
      <w:r w:rsidR="00353304" w:rsidRPr="00B46382">
        <w:rPr>
          <w:rFonts w:ascii="Arial" w:hAnsi="Arial" w:cs="Arial"/>
          <w:color w:val="333333"/>
        </w:rPr>
        <w:t>are a known</w:t>
      </w:r>
      <w:r w:rsidR="00CA3F6A" w:rsidRPr="00B46382">
        <w:rPr>
          <w:rFonts w:ascii="Arial" w:hAnsi="Arial" w:cs="Arial"/>
          <w:color w:val="333333"/>
        </w:rPr>
        <w:t xml:space="preserve"> </w:t>
      </w:r>
      <w:r w:rsidR="00AB5387" w:rsidRPr="00B46382">
        <w:rPr>
          <w:rFonts w:ascii="Arial" w:hAnsi="Arial" w:cs="Arial"/>
          <w:color w:val="333333"/>
        </w:rPr>
        <w:t>under-represented group</w:t>
      </w:r>
      <w:r w:rsidR="0012195E" w:rsidRPr="00B46382">
        <w:rPr>
          <w:rFonts w:ascii="Arial" w:hAnsi="Arial" w:cs="Arial"/>
          <w:color w:val="333333"/>
        </w:rPr>
        <w:t xml:space="preserve"> known nationally</w:t>
      </w:r>
      <w:r w:rsidR="008D6D61" w:rsidRPr="00B46382">
        <w:rPr>
          <w:rFonts w:ascii="Arial" w:hAnsi="Arial" w:cs="Arial"/>
          <w:color w:val="333333"/>
        </w:rPr>
        <w:t xml:space="preserve"> </w:t>
      </w:r>
      <w:r w:rsidR="007061AF" w:rsidRPr="00B46382">
        <w:rPr>
          <w:rFonts w:ascii="Arial" w:hAnsi="Arial" w:cs="Arial"/>
          <w:color w:val="333333"/>
        </w:rPr>
        <w:t>to be</w:t>
      </w:r>
      <w:r w:rsidR="008D6D61" w:rsidRPr="00B46382">
        <w:rPr>
          <w:rFonts w:ascii="Arial" w:hAnsi="Arial" w:cs="Arial"/>
          <w:color w:val="333333"/>
        </w:rPr>
        <w:t xml:space="preserve"> affected by a risk of equality of opportunity to HE</w:t>
      </w:r>
      <w:r w:rsidR="00B765BF" w:rsidRPr="00B46382">
        <w:rPr>
          <w:rFonts w:ascii="Arial" w:hAnsi="Arial" w:cs="Arial"/>
          <w:color w:val="333333"/>
        </w:rPr>
        <w:t>. These students may not have equal opportunity to develop the knowledge and skills</w:t>
      </w:r>
      <w:r w:rsidR="004372B2" w:rsidRPr="00B46382">
        <w:rPr>
          <w:rFonts w:ascii="Arial" w:hAnsi="Arial" w:cs="Arial"/>
          <w:color w:val="333333"/>
        </w:rPr>
        <w:t xml:space="preserve"> to be accepted onto HE courses that match their ambitions.</w:t>
      </w:r>
    </w:p>
    <w:p w14:paraId="7FEBDC1B" w14:textId="06502E56" w:rsidR="00E02FBC" w:rsidRPr="00B46382" w:rsidRDefault="0055724C" w:rsidP="0055724C">
      <w:pPr>
        <w:pStyle w:val="Heading3"/>
      </w:pPr>
      <w:r>
        <w:lastRenderedPageBreak/>
        <w:t xml:space="preserve">9.6 </w:t>
      </w:r>
      <w:r w:rsidR="00EC5776" w:rsidRPr="00B46382">
        <w:t>Care Leavers and o</w:t>
      </w:r>
      <w:r w:rsidR="00E02FBC" w:rsidRPr="00B46382">
        <w:t>ther groups who experience barriers in Higher Education</w:t>
      </w:r>
    </w:p>
    <w:p w14:paraId="3FD26818" w14:textId="77777777" w:rsidR="006D4FC3" w:rsidRPr="00B46382" w:rsidRDefault="007F6CB6" w:rsidP="006D4FC3">
      <w:pPr>
        <w:pStyle w:val="NormalWeb"/>
        <w:rPr>
          <w:rFonts w:ascii="Arial" w:hAnsi="Arial" w:cs="Arial"/>
        </w:rPr>
      </w:pPr>
      <w:r w:rsidRPr="00B46382">
        <w:rPr>
          <w:rFonts w:ascii="Arial" w:hAnsi="Arial" w:cs="Arial"/>
          <w:color w:val="333333"/>
        </w:rPr>
        <w:t>K</w:t>
      </w:r>
      <w:r w:rsidR="00D951CC" w:rsidRPr="00B46382">
        <w:rPr>
          <w:rFonts w:ascii="Arial" w:hAnsi="Arial" w:cs="Arial"/>
          <w:color w:val="333333"/>
        </w:rPr>
        <w:t>C</w:t>
      </w:r>
      <w:r w:rsidRPr="00B46382">
        <w:rPr>
          <w:rFonts w:ascii="Arial" w:hAnsi="Arial" w:cs="Arial"/>
          <w:color w:val="333333"/>
        </w:rPr>
        <w:t xml:space="preserve"> collects data on Care Leavers but with such small numbers, quantitative analysis would be difficult. We are aware that Care Leavers are an under-represented group with national data showing that just 14% of care leavers under the age of 19 progress on to Higher Education compared to 47% of all other children (Breaking the Care Ceiling, 2023).  Although, this is not a main target of our APP. We </w:t>
      </w:r>
      <w:r w:rsidR="007C36D0" w:rsidRPr="00B46382">
        <w:rPr>
          <w:rFonts w:ascii="Arial" w:hAnsi="Arial" w:cs="Arial"/>
          <w:color w:val="333333"/>
        </w:rPr>
        <w:t xml:space="preserve">have a dedicated </w:t>
      </w:r>
      <w:r w:rsidR="00E349C2" w:rsidRPr="00B46382">
        <w:rPr>
          <w:rFonts w:ascii="Arial" w:hAnsi="Arial" w:cs="Arial"/>
          <w:color w:val="333333"/>
        </w:rPr>
        <w:t xml:space="preserve">team to supporting our care leavers to achieve their full potential. </w:t>
      </w:r>
      <w:r w:rsidR="006D4FC3" w:rsidRPr="00B46382">
        <w:rPr>
          <w:rFonts w:ascii="Arial" w:hAnsi="Arial" w:cs="Arial"/>
        </w:rPr>
        <w:t>Our Care Leaver Covenant supports care leavers in accessing higher education (HE) and succeeding throughout their academic journey.</w:t>
      </w:r>
    </w:p>
    <w:p w14:paraId="05F04161" w14:textId="51216BFF" w:rsidR="006D4FC3" w:rsidRPr="00B46382" w:rsidRDefault="006D4FC3" w:rsidP="006D4FC3">
      <w:pPr>
        <w:pStyle w:val="NormalWeb"/>
        <w:numPr>
          <w:ilvl w:val="0"/>
          <w:numId w:val="25"/>
        </w:numPr>
        <w:rPr>
          <w:rFonts w:ascii="Arial" w:hAnsi="Arial" w:cs="Arial"/>
        </w:rPr>
      </w:pPr>
      <w:r w:rsidRPr="00B46382">
        <w:rPr>
          <w:rStyle w:val="Strong"/>
          <w:rFonts w:ascii="Arial" w:hAnsi="Arial" w:cs="Arial"/>
          <w:b w:val="0"/>
          <w:bCs w:val="0"/>
        </w:rPr>
        <w:t>Access to HE</w:t>
      </w:r>
      <w:r w:rsidRPr="00B46382">
        <w:rPr>
          <w:rFonts w:ascii="Arial" w:hAnsi="Arial" w:cs="Arial"/>
        </w:rPr>
        <w:t>: We assist with the application process and offer campus experience opportunities to help care leavers navigate the transition into HE.</w:t>
      </w:r>
    </w:p>
    <w:p w14:paraId="6D08E5DA" w14:textId="123D6D5E" w:rsidR="006D4FC3" w:rsidRPr="00B46382" w:rsidRDefault="006D4FC3" w:rsidP="006D4FC3">
      <w:pPr>
        <w:pStyle w:val="NormalWeb"/>
        <w:numPr>
          <w:ilvl w:val="0"/>
          <w:numId w:val="25"/>
        </w:numPr>
        <w:rPr>
          <w:rFonts w:ascii="Arial" w:hAnsi="Arial" w:cs="Arial"/>
        </w:rPr>
      </w:pPr>
      <w:r w:rsidRPr="00B46382">
        <w:rPr>
          <w:rStyle w:val="Strong"/>
          <w:rFonts w:ascii="Arial" w:hAnsi="Arial" w:cs="Arial"/>
          <w:b w:val="0"/>
          <w:bCs w:val="0"/>
        </w:rPr>
        <w:t>Success in HE</w:t>
      </w:r>
      <w:r w:rsidRPr="00B46382">
        <w:rPr>
          <w:rFonts w:ascii="Arial" w:hAnsi="Arial" w:cs="Arial"/>
        </w:rPr>
        <w:t>: To ensure well-being and academic success, we provide tailored support throughout their studies, including well-being services, transition guidance, and training for staff to better understand the unique challenges faced by care leavers.</w:t>
      </w:r>
    </w:p>
    <w:p w14:paraId="0966BE35" w14:textId="5AAB4C54" w:rsidR="006D4FC3" w:rsidRPr="00B46382" w:rsidRDefault="006D4FC3" w:rsidP="006D4FC3">
      <w:pPr>
        <w:pStyle w:val="NormalWeb"/>
        <w:numPr>
          <w:ilvl w:val="0"/>
          <w:numId w:val="25"/>
        </w:numPr>
        <w:rPr>
          <w:rFonts w:ascii="Arial" w:hAnsi="Arial" w:cs="Arial"/>
        </w:rPr>
      </w:pPr>
      <w:r w:rsidRPr="00B46382">
        <w:rPr>
          <w:rStyle w:val="Strong"/>
          <w:rFonts w:ascii="Arial" w:hAnsi="Arial" w:cs="Arial"/>
          <w:b w:val="0"/>
          <w:bCs w:val="0"/>
        </w:rPr>
        <w:t>Progression from HE</w:t>
      </w:r>
      <w:r w:rsidRPr="00B46382">
        <w:rPr>
          <w:rFonts w:ascii="Arial" w:hAnsi="Arial" w:cs="Arial"/>
        </w:rPr>
        <w:t>: We also offer employment support to help care leavers successfully transition from education to the workforce.</w:t>
      </w:r>
    </w:p>
    <w:p w14:paraId="213F9F21" w14:textId="0354F8FE" w:rsidR="007F6CB6" w:rsidRPr="0055724C" w:rsidRDefault="006D4FC3" w:rsidP="0055724C">
      <w:pPr>
        <w:pStyle w:val="NormalWeb"/>
        <w:rPr>
          <w:rFonts w:ascii="Arial" w:hAnsi="Arial" w:cs="Arial"/>
        </w:rPr>
      </w:pPr>
      <w:r w:rsidRPr="00B46382">
        <w:rPr>
          <w:rFonts w:ascii="Arial" w:hAnsi="Arial" w:cs="Arial"/>
        </w:rPr>
        <w:t xml:space="preserve">This structured approach ensures care leavers receive the guidance and support they need from the start of their </w:t>
      </w:r>
      <w:r w:rsidR="00304BF5" w:rsidRPr="00B46382">
        <w:rPr>
          <w:rFonts w:ascii="Arial" w:hAnsi="Arial" w:cs="Arial"/>
        </w:rPr>
        <w:t xml:space="preserve">HE </w:t>
      </w:r>
      <w:proofErr w:type="gramStart"/>
      <w:r w:rsidRPr="00B46382">
        <w:rPr>
          <w:rFonts w:ascii="Arial" w:hAnsi="Arial" w:cs="Arial"/>
        </w:rPr>
        <w:t>journey</w:t>
      </w:r>
      <w:proofErr w:type="gramEnd"/>
      <w:r w:rsidRPr="00B46382">
        <w:rPr>
          <w:rFonts w:ascii="Arial" w:hAnsi="Arial" w:cs="Arial"/>
        </w:rPr>
        <w:t xml:space="preserve"> to their career progression.</w:t>
      </w:r>
    </w:p>
    <w:p w14:paraId="6CE2A4C5" w14:textId="2CA4A959" w:rsidR="00914545" w:rsidRPr="00B46382" w:rsidRDefault="00212456" w:rsidP="000F7AA6">
      <w:pPr>
        <w:pStyle w:val="NormalWeb"/>
        <w:spacing w:before="0" w:beforeAutospacing="0" w:after="300" w:afterAutospacing="0"/>
        <w:rPr>
          <w:rFonts w:ascii="Arial" w:hAnsi="Arial" w:cs="Arial"/>
          <w:color w:val="333333"/>
        </w:rPr>
      </w:pPr>
      <w:r w:rsidRPr="00B46382">
        <w:rPr>
          <w:rFonts w:ascii="Arial" w:hAnsi="Arial" w:cs="Arial"/>
          <w:color w:val="333333"/>
        </w:rPr>
        <w:t xml:space="preserve">Although we aware of other under-represented groups that </w:t>
      </w:r>
      <w:r w:rsidR="00B8284F" w:rsidRPr="00B46382">
        <w:rPr>
          <w:rFonts w:ascii="Arial" w:hAnsi="Arial" w:cs="Arial"/>
          <w:color w:val="333333"/>
        </w:rPr>
        <w:t>pose a risk to equality of opportunity to H</w:t>
      </w:r>
      <w:r w:rsidR="001E441C" w:rsidRPr="00B46382">
        <w:rPr>
          <w:rFonts w:ascii="Arial" w:hAnsi="Arial" w:cs="Arial"/>
          <w:color w:val="333333"/>
        </w:rPr>
        <w:t>E</w:t>
      </w:r>
      <w:r w:rsidR="00B8284F" w:rsidRPr="00B46382">
        <w:rPr>
          <w:rFonts w:ascii="Arial" w:hAnsi="Arial" w:cs="Arial"/>
          <w:color w:val="333333"/>
        </w:rPr>
        <w:t xml:space="preserve"> such a</w:t>
      </w:r>
      <w:r w:rsidR="007D331D" w:rsidRPr="00B46382">
        <w:rPr>
          <w:rFonts w:ascii="Arial" w:hAnsi="Arial" w:cs="Arial"/>
          <w:color w:val="333333"/>
        </w:rPr>
        <w:t xml:space="preserve">s </w:t>
      </w:r>
      <w:r w:rsidR="00B8284F" w:rsidRPr="00B46382">
        <w:rPr>
          <w:rFonts w:ascii="Arial" w:hAnsi="Arial" w:cs="Arial"/>
          <w:color w:val="333333"/>
        </w:rPr>
        <w:t>people from Gypsy,</w:t>
      </w:r>
      <w:r w:rsidR="00EB28A8" w:rsidRPr="00B46382">
        <w:rPr>
          <w:rFonts w:ascii="Arial" w:hAnsi="Arial" w:cs="Arial"/>
          <w:color w:val="333333"/>
        </w:rPr>
        <w:t xml:space="preserve"> </w:t>
      </w:r>
      <w:r w:rsidR="00B8284F" w:rsidRPr="00B46382">
        <w:rPr>
          <w:rFonts w:ascii="Arial" w:hAnsi="Arial" w:cs="Arial"/>
          <w:color w:val="333333"/>
        </w:rPr>
        <w:t>Roma and Traveller communities, Refugees</w:t>
      </w:r>
      <w:r w:rsidR="00EB28A8" w:rsidRPr="00B46382">
        <w:rPr>
          <w:rFonts w:ascii="Arial" w:hAnsi="Arial" w:cs="Arial"/>
          <w:color w:val="333333"/>
        </w:rPr>
        <w:t xml:space="preserve">, Children of military families, we have such small HE numbers that analysis </w:t>
      </w:r>
      <w:r w:rsidR="00F25FA9" w:rsidRPr="00B46382">
        <w:rPr>
          <w:rFonts w:ascii="Arial" w:hAnsi="Arial" w:cs="Arial"/>
          <w:color w:val="333333"/>
        </w:rPr>
        <w:t xml:space="preserve">of performance </w:t>
      </w:r>
      <w:r w:rsidR="00EB28A8" w:rsidRPr="00B46382">
        <w:rPr>
          <w:rFonts w:ascii="Arial" w:hAnsi="Arial" w:cs="Arial"/>
          <w:color w:val="333333"/>
        </w:rPr>
        <w:t xml:space="preserve">is </w:t>
      </w:r>
      <w:r w:rsidR="00A60702" w:rsidRPr="00B46382">
        <w:rPr>
          <w:rFonts w:ascii="Arial" w:hAnsi="Arial" w:cs="Arial"/>
          <w:color w:val="333333"/>
        </w:rPr>
        <w:t xml:space="preserve">presently </w:t>
      </w:r>
      <w:r w:rsidR="00EB28A8" w:rsidRPr="00B46382">
        <w:rPr>
          <w:rFonts w:ascii="Arial" w:hAnsi="Arial" w:cs="Arial"/>
          <w:color w:val="333333"/>
        </w:rPr>
        <w:t>difficult.</w:t>
      </w:r>
    </w:p>
    <w:p w14:paraId="79FF0935" w14:textId="027C447F" w:rsidR="0055724C" w:rsidRDefault="0055724C" w:rsidP="0055724C">
      <w:pPr>
        <w:pStyle w:val="Heading2"/>
      </w:pPr>
      <w:r>
        <w:t xml:space="preserve">10. </w:t>
      </w:r>
      <w:r w:rsidR="00BF3527" w:rsidRPr="00B46382">
        <w:t>Annex B</w:t>
      </w:r>
    </w:p>
    <w:p w14:paraId="262983CE" w14:textId="3297F862" w:rsidR="00EF4561" w:rsidRDefault="00BF3527" w:rsidP="0055724C">
      <w:pPr>
        <w:pStyle w:val="BodyText"/>
        <w:rPr>
          <w:sz w:val="24"/>
        </w:rPr>
      </w:pPr>
      <w:r w:rsidRPr="0055724C">
        <w:rPr>
          <w:sz w:val="24"/>
        </w:rPr>
        <w:t>Further information that sets out the rationale, assumptions and evidence base for each intervention strategy that is included in the access and participation plan.</w:t>
      </w:r>
      <w:r w:rsidR="004A128A" w:rsidRPr="0055724C">
        <w:rPr>
          <w:sz w:val="24"/>
        </w:rPr>
        <w:t xml:space="preserve"> </w:t>
      </w:r>
    </w:p>
    <w:p w14:paraId="0B209741" w14:textId="77777777" w:rsidR="0055724C" w:rsidRPr="0055724C" w:rsidRDefault="0055724C" w:rsidP="0055724C">
      <w:pPr>
        <w:pStyle w:val="BodyText"/>
        <w:rPr>
          <w:color w:val="FF0000"/>
          <w:sz w:val="24"/>
        </w:rPr>
      </w:pPr>
    </w:p>
    <w:p w14:paraId="712842D2" w14:textId="3609C7DF" w:rsidR="00A80B51" w:rsidRPr="00B46382" w:rsidRDefault="00A80B51" w:rsidP="007656A9">
      <w:pPr>
        <w:pStyle w:val="NormalWeb"/>
        <w:shd w:val="clear" w:color="auto" w:fill="FFFFFF"/>
        <w:spacing w:before="0" w:beforeAutospacing="0" w:after="300" w:afterAutospacing="0"/>
        <w:rPr>
          <w:rFonts w:ascii="Arial" w:hAnsi="Arial" w:cs="Arial"/>
        </w:rPr>
      </w:pPr>
      <w:r w:rsidRPr="00B46382">
        <w:rPr>
          <w:rFonts w:ascii="Arial" w:hAnsi="Arial" w:cs="Arial"/>
        </w:rPr>
        <w:t xml:space="preserve">We reviewed extensive literature to support our intervention strategies and used the Type 1 Narrative evaluation </w:t>
      </w:r>
      <w:r w:rsidR="00ED7642" w:rsidRPr="00B46382">
        <w:rPr>
          <w:rFonts w:ascii="Arial" w:hAnsi="Arial" w:cs="Arial"/>
        </w:rPr>
        <w:t>(</w:t>
      </w:r>
      <w:proofErr w:type="spellStart"/>
      <w:r w:rsidR="00ED7642" w:rsidRPr="00B46382">
        <w:rPr>
          <w:rFonts w:ascii="Arial" w:hAnsi="Arial" w:cs="Arial"/>
        </w:rPr>
        <w:t>OfS</w:t>
      </w:r>
      <w:proofErr w:type="spellEnd"/>
      <w:r w:rsidR="00ED7642" w:rsidRPr="00B46382">
        <w:rPr>
          <w:rFonts w:ascii="Arial" w:hAnsi="Arial" w:cs="Arial"/>
        </w:rPr>
        <w:t xml:space="preserve"> Access and Participation</w:t>
      </w:r>
      <w:r w:rsidR="00665DF0" w:rsidRPr="00B46382">
        <w:rPr>
          <w:rFonts w:ascii="Arial" w:hAnsi="Arial" w:cs="Arial"/>
        </w:rPr>
        <w:t xml:space="preserve"> Standards of Evidence</w:t>
      </w:r>
      <w:r w:rsidR="00CA7472" w:rsidRPr="00B46382">
        <w:rPr>
          <w:rFonts w:ascii="Arial" w:hAnsi="Arial" w:cs="Arial"/>
        </w:rPr>
        <w:t>, 2023</w:t>
      </w:r>
      <w:r w:rsidR="00665DF0" w:rsidRPr="00B46382">
        <w:rPr>
          <w:rFonts w:ascii="Arial" w:hAnsi="Arial" w:cs="Arial"/>
        </w:rPr>
        <w:t xml:space="preserve">) </w:t>
      </w:r>
      <w:r w:rsidRPr="00B46382">
        <w:rPr>
          <w:rFonts w:ascii="Arial" w:hAnsi="Arial" w:cs="Arial"/>
        </w:rPr>
        <w:t>method to</w:t>
      </w:r>
      <w:r w:rsidR="00367BFE" w:rsidRPr="00B46382">
        <w:rPr>
          <w:rFonts w:ascii="Arial" w:hAnsi="Arial" w:cs="Arial"/>
        </w:rPr>
        <w:t xml:space="preserve"> support justification of</w:t>
      </w:r>
      <w:r w:rsidRPr="00B46382">
        <w:rPr>
          <w:rFonts w:ascii="Arial" w:hAnsi="Arial" w:cs="Arial"/>
        </w:rPr>
        <w:t xml:space="preserve"> our</w:t>
      </w:r>
      <w:r w:rsidR="00855C4D" w:rsidRPr="00B46382">
        <w:rPr>
          <w:rFonts w:ascii="Arial" w:hAnsi="Arial" w:cs="Arial"/>
        </w:rPr>
        <w:t xml:space="preserve"> </w:t>
      </w:r>
      <w:r w:rsidRPr="00B46382">
        <w:rPr>
          <w:rFonts w:ascii="Arial" w:hAnsi="Arial" w:cs="Arial"/>
        </w:rPr>
        <w:t>activities for addressing inequality of opportunity. Below, we provide an evidence-based rationale supporting the intervention strategies that shape our Theory of Change.</w:t>
      </w:r>
    </w:p>
    <w:p w14:paraId="501D08A3" w14:textId="59586525" w:rsidR="0055724C" w:rsidRDefault="0055724C" w:rsidP="0055724C">
      <w:pPr>
        <w:pStyle w:val="Heading3"/>
        <w:rPr>
          <w:b w:val="0"/>
        </w:rPr>
      </w:pPr>
      <w:r>
        <w:t xml:space="preserve">10.1 </w:t>
      </w:r>
      <w:r w:rsidR="00554A07" w:rsidRPr="00B46382">
        <w:rPr>
          <w:b w:val="0"/>
        </w:rPr>
        <w:t>Intervention Strategy</w:t>
      </w:r>
      <w:r w:rsidR="00F8477A" w:rsidRPr="00B46382">
        <w:rPr>
          <w:b w:val="0"/>
        </w:rPr>
        <w:t xml:space="preserve"> 1</w:t>
      </w:r>
    </w:p>
    <w:p w14:paraId="61B2973F" w14:textId="5129D77A" w:rsidR="00BF3527" w:rsidRPr="00B46382" w:rsidRDefault="0055724C" w:rsidP="007656A9">
      <w:pPr>
        <w:pStyle w:val="NormalWeb"/>
        <w:shd w:val="clear" w:color="auto" w:fill="FFFFFF"/>
        <w:spacing w:before="0" w:beforeAutospacing="0" w:after="300" w:afterAutospacing="0"/>
        <w:rPr>
          <w:rFonts w:ascii="Arial" w:hAnsi="Arial" w:cs="Arial"/>
          <w:color w:val="000000" w:themeColor="text1"/>
        </w:rPr>
      </w:pPr>
      <w:r>
        <w:rPr>
          <w:rFonts w:ascii="Arial" w:hAnsi="Arial" w:cs="Arial"/>
        </w:rPr>
        <w:t>T</w:t>
      </w:r>
      <w:r w:rsidR="00554A07" w:rsidRPr="00B46382">
        <w:rPr>
          <w:rFonts w:ascii="Arial" w:hAnsi="Arial" w:cs="Arial"/>
        </w:rPr>
        <w:t xml:space="preserve">o reduce the achievement gap between students from deprived socio-economic backgrounds (IMD Q1-2) and more affluent socio-economic backgrounds (IMD 3-10) from 18.85% in 2022/23 to </w:t>
      </w:r>
      <w:r w:rsidR="00377B7A" w:rsidRPr="00B46382">
        <w:rPr>
          <w:rFonts w:ascii="Arial" w:hAnsi="Arial" w:cs="Arial"/>
        </w:rPr>
        <w:t>6</w:t>
      </w:r>
      <w:r w:rsidR="00554A07" w:rsidRPr="00B46382">
        <w:rPr>
          <w:rFonts w:ascii="Arial" w:hAnsi="Arial" w:cs="Arial"/>
        </w:rPr>
        <w:t xml:space="preserve">% in 2028/29 </w:t>
      </w:r>
      <w:r w:rsidR="00554A07" w:rsidRPr="00B46382">
        <w:rPr>
          <w:rFonts w:ascii="Arial" w:hAnsi="Arial" w:cs="Arial"/>
          <w:color w:val="000000" w:themeColor="text1"/>
        </w:rPr>
        <w:t>(PTS_1)</w:t>
      </w:r>
      <w:r w:rsidR="00F8477A" w:rsidRPr="00B46382">
        <w:rPr>
          <w:rFonts w:ascii="Arial" w:hAnsi="Arial" w:cs="Arial"/>
          <w:color w:val="000000" w:themeColor="text1"/>
        </w:rPr>
        <w:t>.</w:t>
      </w:r>
    </w:p>
    <w:p w14:paraId="16D420F5" w14:textId="74D37F28" w:rsidR="007E5C67" w:rsidRPr="00B46382" w:rsidRDefault="007E5C67" w:rsidP="007E5C67">
      <w:pPr>
        <w:spacing w:after="0" w:line="240" w:lineRule="auto"/>
        <w:rPr>
          <w:rFonts w:cs="Arial"/>
          <w:szCs w:val="24"/>
        </w:rPr>
      </w:pPr>
      <w:r w:rsidRPr="00B46382">
        <w:rPr>
          <w:rFonts w:cs="Arial"/>
          <w:color w:val="333333"/>
          <w:szCs w:val="24"/>
        </w:rPr>
        <w:t>Our intervention strateg</w:t>
      </w:r>
      <w:r w:rsidR="00643C08" w:rsidRPr="00B46382">
        <w:rPr>
          <w:rFonts w:cs="Arial"/>
          <w:color w:val="333333"/>
          <w:szCs w:val="24"/>
        </w:rPr>
        <w:t>y</w:t>
      </w:r>
      <w:r w:rsidRPr="00B46382">
        <w:rPr>
          <w:rFonts w:cs="Arial"/>
          <w:color w:val="333333"/>
          <w:szCs w:val="24"/>
        </w:rPr>
        <w:t xml:space="preserve"> aim</w:t>
      </w:r>
      <w:r w:rsidR="00643C08" w:rsidRPr="00B46382">
        <w:rPr>
          <w:rFonts w:cs="Arial"/>
          <w:color w:val="333333"/>
          <w:szCs w:val="24"/>
        </w:rPr>
        <w:t>s</w:t>
      </w:r>
      <w:r w:rsidRPr="00B46382">
        <w:rPr>
          <w:rFonts w:cs="Arial"/>
          <w:color w:val="333333"/>
          <w:szCs w:val="24"/>
        </w:rPr>
        <w:t xml:space="preserve"> to reduce the achievement gap between IMD1-2 </w:t>
      </w:r>
      <w:r w:rsidRPr="00B46382">
        <w:rPr>
          <w:rFonts w:cs="Arial"/>
          <w:color w:val="000000" w:themeColor="text1"/>
          <w:szCs w:val="24"/>
        </w:rPr>
        <w:t>and IMD 3-</w:t>
      </w:r>
      <w:r w:rsidR="00565584" w:rsidRPr="00B46382">
        <w:rPr>
          <w:rFonts w:cs="Arial"/>
          <w:color w:val="000000" w:themeColor="text1"/>
          <w:szCs w:val="24"/>
        </w:rPr>
        <w:t>10</w:t>
      </w:r>
      <w:r w:rsidRPr="00B46382">
        <w:rPr>
          <w:rFonts w:cs="Arial"/>
          <w:color w:val="000000" w:themeColor="text1"/>
          <w:szCs w:val="24"/>
        </w:rPr>
        <w:t xml:space="preserve"> </w:t>
      </w:r>
      <w:r w:rsidRPr="00B46382">
        <w:rPr>
          <w:rFonts w:cs="Arial"/>
          <w:color w:val="333333"/>
          <w:szCs w:val="24"/>
        </w:rPr>
        <w:t xml:space="preserve">groups and therefore improve the social mobility of disadvantaged groups. This is in line with the recommendation for there to be a national strategy and priority to close attainment gaps </w:t>
      </w:r>
      <w:r w:rsidRPr="00B46382">
        <w:rPr>
          <w:rFonts w:cs="Arial"/>
          <w:szCs w:val="24"/>
        </w:rPr>
        <w:t xml:space="preserve">(Social Mobility, 2023). </w:t>
      </w:r>
      <w:r w:rsidR="003C4008" w:rsidRPr="00B46382">
        <w:rPr>
          <w:rFonts w:cs="Arial"/>
          <w:szCs w:val="24"/>
        </w:rPr>
        <w:t>S</w:t>
      </w:r>
      <w:r w:rsidRPr="00B46382">
        <w:rPr>
          <w:rFonts w:cs="Arial"/>
          <w:szCs w:val="24"/>
        </w:rPr>
        <w:t xml:space="preserve">tatistics are compelling in </w:t>
      </w:r>
      <w:r w:rsidRPr="00B46382">
        <w:rPr>
          <w:rFonts w:cs="Arial"/>
          <w:szCs w:val="24"/>
        </w:rPr>
        <w:lastRenderedPageBreak/>
        <w:t xml:space="preserve">evidencing disadvantage where 62% of non-disadvantaged high attainers achieved five or more grade 7-9s at GCSE in 2021, compared to 40% of disadvantaged high attainers. TASO’s Rapid Review of Literature </w:t>
      </w:r>
      <w:r w:rsidRPr="00B46382">
        <w:rPr>
          <w:rFonts w:cs="Arial"/>
          <w:szCs w:val="24"/>
          <w:u w:val="single"/>
        </w:rPr>
        <w:t>(</w:t>
      </w:r>
      <w:hyperlink r:id="rId22" w:history="1">
        <w:r w:rsidRPr="00B46382">
          <w:rPr>
            <w:rStyle w:val="Hyperlink"/>
            <w:rFonts w:cs="Arial"/>
            <w:szCs w:val="24"/>
          </w:rPr>
          <w:t>TASO, 2023)</w:t>
        </w:r>
      </w:hyperlink>
      <w:r w:rsidRPr="00B46382">
        <w:rPr>
          <w:rFonts w:cs="Arial"/>
          <w:szCs w:val="24"/>
        </w:rPr>
        <w:t xml:space="preserve"> also highlights in 2018-19, 24.7% of FSM-eligible pupils gained at least a grade 5 in both English and mathematics GCSEs compared to 49.9% of other pupils.</w:t>
      </w:r>
    </w:p>
    <w:p w14:paraId="2041C94C" w14:textId="7E48A7DD" w:rsidR="007E5C67" w:rsidRPr="00B46382" w:rsidRDefault="007E5C67" w:rsidP="007E5C67">
      <w:pPr>
        <w:shd w:val="clear" w:color="auto" w:fill="FFFFFF"/>
        <w:spacing w:before="100" w:beforeAutospacing="1" w:after="150" w:line="240" w:lineRule="auto"/>
        <w:rPr>
          <w:rFonts w:cs="Arial"/>
          <w:szCs w:val="24"/>
        </w:rPr>
      </w:pPr>
      <w:r w:rsidRPr="00B46382">
        <w:rPr>
          <w:rFonts w:cs="Arial"/>
          <w:szCs w:val="24"/>
        </w:rPr>
        <w:t xml:space="preserve">As we state earlier in our introduction, KC has a local demographic which allows us the privilege to promote social mobility. Many of our students join us with low starting points in terms of GCSE, indicative of social disadvantage. We are also aware of the impact on potential earnings through disadvantage. Research suggests an earning gap of approximately 10% between students from the most disadvantaged and the most advantaged backgrounds (TASO, The Value of HE, 2023). We believe our intervention strategies will support the narrowing of this earnings gap and contribute to improving social mobility in our region. </w:t>
      </w:r>
    </w:p>
    <w:p w14:paraId="49706AD1" w14:textId="69636DA4" w:rsidR="00A475F7" w:rsidRPr="00B46382" w:rsidRDefault="00597ACB" w:rsidP="000E3827">
      <w:pPr>
        <w:shd w:val="clear" w:color="auto" w:fill="FFFFFF"/>
        <w:spacing w:before="100" w:beforeAutospacing="1" w:after="150" w:line="240" w:lineRule="auto"/>
        <w:rPr>
          <w:rFonts w:cs="Arial"/>
          <w:color w:val="333333"/>
          <w:szCs w:val="24"/>
        </w:rPr>
      </w:pPr>
      <w:r w:rsidRPr="00B46382">
        <w:rPr>
          <w:rFonts w:cs="Arial"/>
          <w:szCs w:val="24"/>
        </w:rPr>
        <w:t xml:space="preserve">Our data tells us that </w:t>
      </w:r>
      <w:r w:rsidR="00D75959" w:rsidRPr="00B46382">
        <w:rPr>
          <w:rFonts w:cs="Arial"/>
          <w:szCs w:val="24"/>
        </w:rPr>
        <w:t xml:space="preserve">students from more deprived areas do not achieve as well </w:t>
      </w:r>
      <w:r w:rsidR="00CC1D84" w:rsidRPr="00B46382">
        <w:rPr>
          <w:rFonts w:cs="Arial"/>
          <w:szCs w:val="24"/>
        </w:rPr>
        <w:t xml:space="preserve">as those from more affluent areas. </w:t>
      </w:r>
      <w:r w:rsidR="003C5E87" w:rsidRPr="00B46382">
        <w:rPr>
          <w:rFonts w:cs="Arial"/>
          <w:szCs w:val="24"/>
        </w:rPr>
        <w:t>The EORR sets out clear rationale as to why this may be</w:t>
      </w:r>
      <w:r w:rsidR="0017048D" w:rsidRPr="00B46382">
        <w:rPr>
          <w:rFonts w:cs="Arial"/>
          <w:szCs w:val="24"/>
        </w:rPr>
        <w:t>.</w:t>
      </w:r>
      <w:r w:rsidR="003C5E87" w:rsidRPr="00B46382">
        <w:rPr>
          <w:rFonts w:cs="Arial"/>
          <w:szCs w:val="24"/>
        </w:rPr>
        <w:t xml:space="preserve"> </w:t>
      </w:r>
      <w:r w:rsidR="0017048D" w:rsidRPr="00B46382">
        <w:rPr>
          <w:rFonts w:cs="Arial"/>
          <w:szCs w:val="24"/>
        </w:rPr>
        <w:t>T</w:t>
      </w:r>
      <w:r w:rsidR="004C4BBB" w:rsidRPr="00B46382">
        <w:rPr>
          <w:rFonts w:cs="Arial"/>
          <w:szCs w:val="24"/>
        </w:rPr>
        <w:t>his may be associated with students</w:t>
      </w:r>
      <w:r w:rsidR="00B65EAA" w:rsidRPr="00B46382">
        <w:rPr>
          <w:rFonts w:cs="Arial"/>
          <w:szCs w:val="24"/>
        </w:rPr>
        <w:t xml:space="preserve"> </w:t>
      </w:r>
      <w:r w:rsidR="00EA13C0" w:rsidRPr="00B46382">
        <w:rPr>
          <w:rFonts w:cs="Arial"/>
          <w:szCs w:val="24"/>
        </w:rPr>
        <w:t>in more deprived areas being</w:t>
      </w:r>
      <w:r w:rsidR="00B65EAA" w:rsidRPr="00B46382">
        <w:rPr>
          <w:rFonts w:cs="Arial"/>
          <w:szCs w:val="24"/>
        </w:rPr>
        <w:t xml:space="preserve"> disadvantaged by not having</w:t>
      </w:r>
      <w:r w:rsidR="00B65EAA" w:rsidRPr="00B46382">
        <w:rPr>
          <w:rFonts w:cs="Arial"/>
          <w:color w:val="333333"/>
          <w:szCs w:val="24"/>
        </w:rPr>
        <w:t xml:space="preserve"> access to a high-quality education</w:t>
      </w:r>
      <w:r w:rsidR="00B65EAA" w:rsidRPr="00B46382">
        <w:rPr>
          <w:rFonts w:cs="Arial"/>
          <w:szCs w:val="24"/>
        </w:rPr>
        <w:t xml:space="preserve"> based on where they live and the school they attend in contrast to their counterparts.</w:t>
      </w:r>
      <w:r w:rsidR="00BB2D93" w:rsidRPr="00B46382">
        <w:rPr>
          <w:rFonts w:cs="Arial"/>
          <w:szCs w:val="24"/>
        </w:rPr>
        <w:t xml:space="preserve"> This may </w:t>
      </w:r>
      <w:r w:rsidR="0069158A" w:rsidRPr="00B46382">
        <w:rPr>
          <w:rFonts w:cs="Arial"/>
          <w:szCs w:val="24"/>
        </w:rPr>
        <w:t>create</w:t>
      </w:r>
      <w:r w:rsidR="00BB2D93" w:rsidRPr="00B46382">
        <w:rPr>
          <w:rFonts w:cs="Arial"/>
          <w:szCs w:val="24"/>
        </w:rPr>
        <w:t xml:space="preserve"> disadvantage in terms</w:t>
      </w:r>
      <w:r w:rsidR="00CB1F46" w:rsidRPr="00B46382">
        <w:rPr>
          <w:rFonts w:cs="Arial"/>
          <w:szCs w:val="24"/>
        </w:rPr>
        <w:t xml:space="preserve"> the knowledge and skills they acquire, information and guidance to make </w:t>
      </w:r>
      <w:r w:rsidR="00935487" w:rsidRPr="00B46382">
        <w:rPr>
          <w:rFonts w:cs="Arial"/>
          <w:szCs w:val="24"/>
        </w:rPr>
        <w:t xml:space="preserve">informed decisions and </w:t>
      </w:r>
      <w:r w:rsidR="00CB1F46" w:rsidRPr="00B46382">
        <w:rPr>
          <w:rFonts w:cs="Arial"/>
          <w:szCs w:val="24"/>
        </w:rPr>
        <w:t xml:space="preserve">choices, </w:t>
      </w:r>
      <w:r w:rsidR="00935487" w:rsidRPr="00B46382">
        <w:rPr>
          <w:rFonts w:cs="Arial"/>
          <w:szCs w:val="24"/>
        </w:rPr>
        <w:t xml:space="preserve">and </w:t>
      </w:r>
      <w:r w:rsidR="00CB1F46" w:rsidRPr="00B46382">
        <w:rPr>
          <w:rFonts w:cs="Arial"/>
          <w:szCs w:val="24"/>
        </w:rPr>
        <w:t xml:space="preserve">their perceptions of HE. </w:t>
      </w:r>
      <w:r w:rsidR="00061D5D" w:rsidRPr="00B46382">
        <w:rPr>
          <w:rFonts w:cs="Arial"/>
          <w:color w:val="333333"/>
          <w:szCs w:val="24"/>
        </w:rPr>
        <w:t xml:space="preserve">In terms of </w:t>
      </w:r>
      <w:r w:rsidR="009C5285" w:rsidRPr="00B46382">
        <w:rPr>
          <w:rFonts w:cs="Arial"/>
          <w:color w:val="333333"/>
          <w:szCs w:val="24"/>
        </w:rPr>
        <w:t>p</w:t>
      </w:r>
      <w:r w:rsidR="00061D5D" w:rsidRPr="00B46382">
        <w:rPr>
          <w:rFonts w:cs="Arial"/>
          <w:color w:val="333333"/>
          <w:szCs w:val="24"/>
        </w:rPr>
        <w:t>erception of HE, s</w:t>
      </w:r>
      <w:r w:rsidR="00061D5D" w:rsidRPr="00B46382">
        <w:rPr>
          <w:rFonts w:eastAsia="Times New Roman" w:cs="Arial"/>
          <w:color w:val="333333"/>
          <w:szCs w:val="24"/>
          <w:lang w:eastAsia="en-GB"/>
        </w:rPr>
        <w:t xml:space="preserve">tudents from IMD 1-2 </w:t>
      </w:r>
      <w:r w:rsidR="004B2011" w:rsidRPr="00B46382">
        <w:rPr>
          <w:rFonts w:eastAsia="Times New Roman" w:cs="Arial"/>
          <w:color w:val="333333"/>
          <w:szCs w:val="24"/>
          <w:lang w:eastAsia="en-GB"/>
        </w:rPr>
        <w:t xml:space="preserve">more deprived </w:t>
      </w:r>
      <w:r w:rsidR="00061D5D" w:rsidRPr="00B46382">
        <w:rPr>
          <w:rFonts w:eastAsia="Times New Roman" w:cs="Arial"/>
          <w:color w:val="333333"/>
          <w:szCs w:val="24"/>
          <w:lang w:eastAsia="en-GB"/>
        </w:rPr>
        <w:t>areas (even with appropriate grades and guidance) may not feel able to apply to higher education</w:t>
      </w:r>
      <w:r w:rsidR="00061D5D" w:rsidRPr="00B46382">
        <w:rPr>
          <w:rFonts w:cs="Arial"/>
          <w:color w:val="333333"/>
          <w:szCs w:val="24"/>
        </w:rPr>
        <w:t xml:space="preserve"> due to </w:t>
      </w:r>
      <w:r w:rsidR="00061D5D" w:rsidRPr="00B46382">
        <w:rPr>
          <w:rFonts w:eastAsia="Times New Roman" w:cs="Arial"/>
          <w:color w:val="333333"/>
          <w:szCs w:val="24"/>
          <w:lang w:eastAsia="en-GB"/>
        </w:rPr>
        <w:t xml:space="preserve">financial </w:t>
      </w:r>
      <w:r w:rsidR="00D33EE5" w:rsidRPr="00B46382">
        <w:rPr>
          <w:rFonts w:eastAsia="Times New Roman" w:cs="Arial"/>
          <w:color w:val="333333"/>
          <w:szCs w:val="24"/>
          <w:lang w:eastAsia="en-GB"/>
        </w:rPr>
        <w:t xml:space="preserve">(cost pressures) </w:t>
      </w:r>
      <w:r w:rsidR="00061D5D" w:rsidRPr="00B46382">
        <w:rPr>
          <w:rFonts w:eastAsia="Times New Roman" w:cs="Arial"/>
          <w:color w:val="333333"/>
          <w:szCs w:val="24"/>
          <w:lang w:eastAsia="en-GB"/>
        </w:rPr>
        <w:t>or familial circumstances</w:t>
      </w:r>
      <w:r w:rsidR="001D454C" w:rsidRPr="00B46382">
        <w:rPr>
          <w:rFonts w:cs="Arial"/>
          <w:color w:val="333333"/>
          <w:szCs w:val="24"/>
        </w:rPr>
        <w:t xml:space="preserve"> (EORR, 2023).</w:t>
      </w:r>
    </w:p>
    <w:p w14:paraId="7DC67173" w14:textId="337861BF" w:rsidR="00505B30" w:rsidRPr="00B46382" w:rsidRDefault="006449AC" w:rsidP="00505B30">
      <w:pPr>
        <w:spacing w:after="0" w:line="240" w:lineRule="auto"/>
        <w:rPr>
          <w:rFonts w:cs="Arial"/>
          <w:szCs w:val="24"/>
        </w:rPr>
      </w:pPr>
      <w:r w:rsidRPr="00B46382">
        <w:rPr>
          <w:rFonts w:eastAsia="Times New Roman" w:cs="Arial"/>
          <w:szCs w:val="24"/>
          <w:lang w:eastAsia="en-GB"/>
        </w:rPr>
        <w:t>T</w:t>
      </w:r>
      <w:r w:rsidR="00505B30" w:rsidRPr="00B46382">
        <w:rPr>
          <w:rFonts w:eastAsia="Times New Roman" w:cs="Arial"/>
          <w:szCs w:val="24"/>
          <w:lang w:eastAsia="en-GB"/>
        </w:rPr>
        <w:t>he gap between rich and poor students in HE participation widened during the 1990s. Since 1994/5, children from poor neighbourhoods have become relatively less likely to attend university compared to those from richer neighbourhoods</w:t>
      </w:r>
      <w:r w:rsidR="00505B30" w:rsidRPr="00B46382">
        <w:rPr>
          <w:rFonts w:cs="Arial"/>
          <w:szCs w:val="24"/>
        </w:rPr>
        <w:t xml:space="preserve"> (Galindo et al, 2020)</w:t>
      </w:r>
      <w:r w:rsidR="00A16A65" w:rsidRPr="00B46382">
        <w:rPr>
          <w:rFonts w:cs="Arial"/>
          <w:szCs w:val="24"/>
        </w:rPr>
        <w:t>. Our intervention strategies aim to improve knowledge and skills</w:t>
      </w:r>
      <w:r w:rsidR="00C7089C" w:rsidRPr="00B46382">
        <w:rPr>
          <w:rFonts w:cs="Arial"/>
          <w:szCs w:val="24"/>
        </w:rPr>
        <w:t xml:space="preserve">, information and guidance, perceptions of HE </w:t>
      </w:r>
      <w:r w:rsidR="00B04433" w:rsidRPr="00B46382">
        <w:rPr>
          <w:rFonts w:cs="Arial"/>
          <w:color w:val="000000" w:themeColor="text1"/>
          <w:szCs w:val="24"/>
        </w:rPr>
        <w:t>(IS</w:t>
      </w:r>
      <w:r w:rsidR="001A7AB3" w:rsidRPr="00B46382">
        <w:rPr>
          <w:rFonts w:cs="Arial"/>
          <w:color w:val="000000" w:themeColor="text1"/>
          <w:szCs w:val="24"/>
        </w:rPr>
        <w:t xml:space="preserve"> 1.2, 1.4, 1.5 1.6)</w:t>
      </w:r>
      <w:r w:rsidR="00C7089C" w:rsidRPr="00B46382">
        <w:rPr>
          <w:rFonts w:cs="Arial"/>
          <w:color w:val="FF0000"/>
          <w:szCs w:val="24"/>
        </w:rPr>
        <w:t xml:space="preserve"> </w:t>
      </w:r>
      <w:r w:rsidR="00C7089C" w:rsidRPr="00B46382">
        <w:rPr>
          <w:rFonts w:cs="Arial"/>
          <w:szCs w:val="24"/>
        </w:rPr>
        <w:t>with our FE stud</w:t>
      </w:r>
      <w:r w:rsidR="001A7AB3" w:rsidRPr="00B46382">
        <w:rPr>
          <w:rFonts w:cs="Arial"/>
          <w:szCs w:val="24"/>
        </w:rPr>
        <w:t>ent</w:t>
      </w:r>
      <w:r w:rsidR="00C7089C" w:rsidRPr="00B46382">
        <w:rPr>
          <w:rFonts w:cs="Arial"/>
          <w:szCs w:val="24"/>
        </w:rPr>
        <w:t xml:space="preserve"> body and </w:t>
      </w:r>
      <w:r w:rsidR="004E3DAC" w:rsidRPr="00B46382">
        <w:rPr>
          <w:rFonts w:cs="Arial"/>
          <w:szCs w:val="24"/>
        </w:rPr>
        <w:t>r</w:t>
      </w:r>
      <w:r w:rsidR="00C7089C" w:rsidRPr="00B46382">
        <w:rPr>
          <w:rFonts w:cs="Arial"/>
          <w:szCs w:val="24"/>
        </w:rPr>
        <w:t xml:space="preserve">aising </w:t>
      </w:r>
      <w:r w:rsidR="004E3DAC" w:rsidRPr="00B46382">
        <w:rPr>
          <w:rFonts w:cs="Arial"/>
          <w:szCs w:val="24"/>
        </w:rPr>
        <w:t>aspirations and a</w:t>
      </w:r>
      <w:r w:rsidR="00C7089C" w:rsidRPr="00B46382">
        <w:rPr>
          <w:rFonts w:cs="Arial"/>
          <w:szCs w:val="24"/>
        </w:rPr>
        <w:t xml:space="preserve">ttainment work </w:t>
      </w:r>
      <w:r w:rsidR="00CA5473" w:rsidRPr="00B46382">
        <w:rPr>
          <w:rFonts w:cs="Arial"/>
          <w:szCs w:val="24"/>
        </w:rPr>
        <w:t>with</w:t>
      </w:r>
      <w:r w:rsidR="00C7089C" w:rsidRPr="00B46382">
        <w:rPr>
          <w:rFonts w:cs="Arial"/>
          <w:szCs w:val="24"/>
        </w:rPr>
        <w:t xml:space="preserve"> local schools </w:t>
      </w:r>
      <w:r w:rsidR="001A7AB3" w:rsidRPr="00B46382">
        <w:rPr>
          <w:rFonts w:cs="Arial"/>
          <w:color w:val="000000" w:themeColor="text1"/>
          <w:szCs w:val="24"/>
        </w:rPr>
        <w:t>(</w:t>
      </w:r>
      <w:r w:rsidR="00303B0B" w:rsidRPr="00B46382">
        <w:rPr>
          <w:rFonts w:cs="Arial"/>
          <w:color w:val="000000" w:themeColor="text1"/>
          <w:szCs w:val="24"/>
        </w:rPr>
        <w:t>2.1) and through our</w:t>
      </w:r>
      <w:r w:rsidR="00CC0990" w:rsidRPr="00B46382">
        <w:rPr>
          <w:rFonts w:cs="Arial"/>
          <w:szCs w:val="24"/>
        </w:rPr>
        <w:t xml:space="preserve"> partnership with GHWY </w:t>
      </w:r>
      <w:r w:rsidR="00F0405D" w:rsidRPr="00B46382">
        <w:rPr>
          <w:rFonts w:cs="Arial"/>
          <w:szCs w:val="24"/>
        </w:rPr>
        <w:t>(IS 2.2, 2.3)</w:t>
      </w:r>
      <w:r w:rsidR="00B65305" w:rsidRPr="00B46382">
        <w:rPr>
          <w:rFonts w:cs="Arial"/>
          <w:szCs w:val="24"/>
        </w:rPr>
        <w:t>.</w:t>
      </w:r>
    </w:p>
    <w:p w14:paraId="40FB35E0" w14:textId="77777777" w:rsidR="00505B30" w:rsidRPr="00B46382" w:rsidRDefault="00505B30" w:rsidP="00505B30">
      <w:pPr>
        <w:spacing w:after="0" w:line="240" w:lineRule="auto"/>
        <w:rPr>
          <w:rFonts w:cs="Arial"/>
          <w:szCs w:val="24"/>
        </w:rPr>
      </w:pPr>
    </w:p>
    <w:p w14:paraId="5A0A55D9" w14:textId="2396D308" w:rsidR="000A008B" w:rsidRPr="00B46382" w:rsidRDefault="00505B30" w:rsidP="00505B30">
      <w:pPr>
        <w:spacing w:after="0" w:line="240" w:lineRule="auto"/>
        <w:rPr>
          <w:rFonts w:cs="Arial"/>
          <w:szCs w:val="24"/>
        </w:rPr>
      </w:pPr>
      <w:r w:rsidRPr="00B46382">
        <w:rPr>
          <w:rFonts w:cs="Arial"/>
          <w:szCs w:val="24"/>
        </w:rPr>
        <w:t xml:space="preserve">There is much literature to indicate that students coming from more deprived backgrounds face greater challenges in HE </w:t>
      </w:r>
      <w:proofErr w:type="spellStart"/>
      <w:r w:rsidRPr="00B46382">
        <w:rPr>
          <w:rFonts w:cs="Arial"/>
          <w:szCs w:val="24"/>
        </w:rPr>
        <w:t>than</w:t>
      </w:r>
      <w:proofErr w:type="spellEnd"/>
      <w:r w:rsidRPr="00B46382">
        <w:rPr>
          <w:rFonts w:cs="Arial"/>
          <w:szCs w:val="24"/>
        </w:rPr>
        <w:t xml:space="preserve"> student from less deprived areas. Recent analysis from the Higher Education Statistics Agency </w:t>
      </w:r>
      <w:r w:rsidR="00B15543" w:rsidRPr="00B46382">
        <w:rPr>
          <w:rFonts w:cs="Arial"/>
          <w:szCs w:val="24"/>
        </w:rPr>
        <w:t xml:space="preserve">(HESA) </w:t>
      </w:r>
      <w:r w:rsidRPr="00B46382">
        <w:rPr>
          <w:rFonts w:cs="Arial"/>
          <w:szCs w:val="24"/>
        </w:rPr>
        <w:t>demonstrate ongoing, persisting gaps in educational attainment between pupils from deprived backgrounds and their more affluent peers once they reach university. Here HESA demonstrates a strong positive linear correlation (r = 0.889)</w:t>
      </w:r>
      <w:r w:rsidRPr="00B46382">
        <w:rPr>
          <w:rFonts w:cs="Arial"/>
          <w:color w:val="171413"/>
          <w:szCs w:val="24"/>
          <w:shd w:val="clear" w:color="auto" w:fill="FFFFFF"/>
        </w:rPr>
        <w:t xml:space="preserve"> with HE attainment rising with an increase from decile 1 to 10 (1 representing the most deprived decile) (HESA, 2023). Other studies have shown other factors that differ dependent on socio-</w:t>
      </w:r>
      <w:proofErr w:type="spellStart"/>
      <w:r w:rsidRPr="00B46382">
        <w:rPr>
          <w:rFonts w:cs="Arial"/>
          <w:color w:val="171413"/>
          <w:szCs w:val="24"/>
          <w:shd w:val="clear" w:color="auto" w:fill="FFFFFF"/>
        </w:rPr>
        <w:t>econonic</w:t>
      </w:r>
      <w:proofErr w:type="spellEnd"/>
      <w:r w:rsidRPr="00B46382">
        <w:rPr>
          <w:rFonts w:cs="Arial"/>
          <w:color w:val="171413"/>
          <w:szCs w:val="24"/>
          <w:shd w:val="clear" w:color="auto" w:fill="FFFFFF"/>
        </w:rPr>
        <w:t xml:space="preserve"> background. Students from IMD1 areas experiencing additional mental health needs (Cullinan, 2020) and being less well prepared for HE and integration in HE being more difficult than students from more affluent counterparts (</w:t>
      </w:r>
      <w:r w:rsidRPr="00B46382">
        <w:rPr>
          <w:rFonts w:cs="Arial"/>
          <w:szCs w:val="24"/>
        </w:rPr>
        <w:t>The Conversation.com 2020). In a comprehensive review of the socio-economic literature it was found that early withdrawal is lower for academically and socially integrated students (</w:t>
      </w:r>
      <w:proofErr w:type="spellStart"/>
      <w:r w:rsidRPr="00B46382">
        <w:rPr>
          <w:rFonts w:cs="Arial"/>
          <w:szCs w:val="24"/>
        </w:rPr>
        <w:t>Aina</w:t>
      </w:r>
      <w:proofErr w:type="spellEnd"/>
      <w:r w:rsidRPr="00B46382">
        <w:rPr>
          <w:rFonts w:cs="Arial"/>
          <w:szCs w:val="24"/>
        </w:rPr>
        <w:t xml:space="preserve"> et al 2020). </w:t>
      </w:r>
      <w:r w:rsidR="008F48D6" w:rsidRPr="00B46382">
        <w:rPr>
          <w:rFonts w:cs="Arial"/>
          <w:szCs w:val="24"/>
        </w:rPr>
        <w:t xml:space="preserve">The </w:t>
      </w:r>
      <w:r w:rsidR="004F0E48" w:rsidRPr="00B46382">
        <w:rPr>
          <w:rFonts w:cs="Arial"/>
          <w:szCs w:val="24"/>
        </w:rPr>
        <w:t>EORR suggests that those with a risk of mental health issues, nationally are more likely to be from low household background</w:t>
      </w:r>
      <w:r w:rsidR="00322903" w:rsidRPr="00B46382">
        <w:rPr>
          <w:rFonts w:cs="Arial"/>
          <w:szCs w:val="24"/>
        </w:rPr>
        <w:t xml:space="preserve"> and</w:t>
      </w:r>
      <w:r w:rsidR="004F0E48" w:rsidRPr="00B46382">
        <w:rPr>
          <w:rFonts w:cs="Arial"/>
          <w:szCs w:val="24"/>
        </w:rPr>
        <w:t xml:space="preserve"> have a disability</w:t>
      </w:r>
      <w:r w:rsidR="00A26522" w:rsidRPr="00B46382">
        <w:rPr>
          <w:rFonts w:cs="Arial"/>
          <w:szCs w:val="24"/>
        </w:rPr>
        <w:t>,</w:t>
      </w:r>
      <w:r w:rsidR="008F48D6" w:rsidRPr="00B46382">
        <w:rPr>
          <w:rFonts w:cs="Arial"/>
          <w:szCs w:val="24"/>
        </w:rPr>
        <w:t xml:space="preserve"> </w:t>
      </w:r>
      <w:r w:rsidR="008439AC" w:rsidRPr="00B46382">
        <w:rPr>
          <w:rFonts w:cs="Arial"/>
          <w:szCs w:val="24"/>
        </w:rPr>
        <w:t>providing clear rationale for our enhanced DSA intervention activity</w:t>
      </w:r>
      <w:r w:rsidR="00A26522" w:rsidRPr="00B46382">
        <w:rPr>
          <w:rFonts w:cs="Arial"/>
          <w:szCs w:val="24"/>
        </w:rPr>
        <w:t xml:space="preserve"> </w:t>
      </w:r>
      <w:r w:rsidR="008439AC" w:rsidRPr="00B46382">
        <w:rPr>
          <w:rFonts w:cs="Arial"/>
          <w:szCs w:val="24"/>
        </w:rPr>
        <w:t>(IS1</w:t>
      </w:r>
      <w:r w:rsidR="008A0929" w:rsidRPr="00B46382">
        <w:rPr>
          <w:rFonts w:cs="Arial"/>
          <w:szCs w:val="24"/>
        </w:rPr>
        <w:t>.1</w:t>
      </w:r>
      <w:r w:rsidR="00C26535" w:rsidRPr="00B46382">
        <w:rPr>
          <w:rFonts w:cs="Arial"/>
          <w:szCs w:val="24"/>
        </w:rPr>
        <w:t>)</w:t>
      </w:r>
      <w:r w:rsidR="008439AC" w:rsidRPr="00B46382">
        <w:rPr>
          <w:rFonts w:cs="Arial"/>
          <w:szCs w:val="24"/>
        </w:rPr>
        <w:t xml:space="preserve">. </w:t>
      </w:r>
    </w:p>
    <w:p w14:paraId="75DEC419" w14:textId="77777777" w:rsidR="00D9475A" w:rsidRPr="00B46382" w:rsidRDefault="00D9475A" w:rsidP="00505B30">
      <w:pPr>
        <w:spacing w:after="0" w:line="240" w:lineRule="auto"/>
        <w:rPr>
          <w:rFonts w:cs="Arial"/>
          <w:szCs w:val="24"/>
        </w:rPr>
      </w:pPr>
    </w:p>
    <w:p w14:paraId="53249C01" w14:textId="3425EC43" w:rsidR="00D9475A" w:rsidRPr="00B46382" w:rsidRDefault="00D9475A" w:rsidP="00D9475A">
      <w:pPr>
        <w:pStyle w:val="NormalWeb"/>
        <w:spacing w:before="0" w:beforeAutospacing="0" w:after="300" w:afterAutospacing="0"/>
        <w:rPr>
          <w:rFonts w:ascii="Arial" w:hAnsi="Arial" w:cs="Arial"/>
          <w:color w:val="000000" w:themeColor="text1"/>
        </w:rPr>
      </w:pPr>
      <w:r w:rsidRPr="00B46382">
        <w:rPr>
          <w:rFonts w:ascii="Arial" w:hAnsi="Arial" w:cs="Arial"/>
          <w:color w:val="000000" w:themeColor="text1"/>
        </w:rPr>
        <w:t>Our own internal narrative tells us that not all our HE students eligible for DSA actually apply for DSA and have consequently struggled to achieve</w:t>
      </w:r>
      <w:r w:rsidRPr="00B46382">
        <w:rPr>
          <w:rFonts w:ascii="Arial" w:hAnsi="Arial" w:cs="Arial"/>
        </w:rPr>
        <w:t>. Eligible students may not apply for DSA due to lack of awareness, perceived stigma, complexity of the application process, concerns about delays, perceived lack of need, financial misconceptions, privacy worries, negative past experiences, and psychological barriers (National Audit Office, 2019; DfE, 2021). Addressing these barriers requires a targeted approach, clear communication, which we aim to provide in our planned intervention activity (</w:t>
      </w:r>
      <w:r w:rsidR="00C32A67" w:rsidRPr="00B46382">
        <w:rPr>
          <w:rFonts w:ascii="Arial" w:hAnsi="Arial" w:cs="Arial"/>
        </w:rPr>
        <w:t>IS</w:t>
      </w:r>
      <w:r w:rsidRPr="00B46382">
        <w:rPr>
          <w:rFonts w:ascii="Arial" w:hAnsi="Arial" w:cs="Arial"/>
        </w:rPr>
        <w:t xml:space="preserve">1.1, </w:t>
      </w:r>
      <w:r w:rsidR="00C32A67" w:rsidRPr="00B46382">
        <w:rPr>
          <w:rFonts w:ascii="Arial" w:hAnsi="Arial" w:cs="Arial"/>
        </w:rPr>
        <w:t>IS</w:t>
      </w:r>
      <w:r w:rsidRPr="00B46382">
        <w:rPr>
          <w:rFonts w:ascii="Arial" w:hAnsi="Arial" w:cs="Arial"/>
        </w:rPr>
        <w:t>1.6)</w:t>
      </w:r>
      <w:r w:rsidRPr="00B46382">
        <w:rPr>
          <w:rFonts w:ascii="Arial" w:hAnsi="Arial" w:cs="Arial"/>
          <w:color w:val="FF0000"/>
        </w:rPr>
        <w:t xml:space="preserve"> </w:t>
      </w:r>
      <w:r w:rsidRPr="00B46382">
        <w:rPr>
          <w:rFonts w:ascii="Arial" w:hAnsi="Arial" w:cs="Arial"/>
        </w:rPr>
        <w:t>to ensure that all eligible students are aware of and feel comfortable accessing the support available to them.</w:t>
      </w:r>
    </w:p>
    <w:p w14:paraId="28E42322" w14:textId="1DC2B8ED" w:rsidR="00D9475A" w:rsidRPr="00B46382" w:rsidRDefault="00D9475A" w:rsidP="00D9475A">
      <w:pPr>
        <w:rPr>
          <w:rFonts w:cs="Arial"/>
          <w:szCs w:val="24"/>
        </w:rPr>
      </w:pPr>
      <w:r w:rsidRPr="00B46382">
        <w:rPr>
          <w:rFonts w:cs="Arial"/>
          <w:szCs w:val="24"/>
        </w:rPr>
        <w:t xml:space="preserve">There is evidence suggesting that a higher proportion of students with SEND come from </w:t>
      </w:r>
      <w:r w:rsidRPr="00B46382">
        <w:rPr>
          <w:rFonts w:cs="Arial"/>
          <w:color w:val="000000" w:themeColor="text1"/>
          <w:szCs w:val="24"/>
        </w:rPr>
        <w:t>more deprived areas. Several studies and reports have highlighted a correlation between SES and the prevalence of SEND among young people (</w:t>
      </w:r>
      <w:r w:rsidRPr="00B46382">
        <w:rPr>
          <w:rFonts w:eastAsia="Times New Roman" w:cs="Arial"/>
          <w:color w:val="000000" w:themeColor="text1"/>
          <w:szCs w:val="24"/>
          <w:lang w:eastAsia="en-GB"/>
        </w:rPr>
        <w:t>The Sutton Trust, 2019;</w:t>
      </w:r>
      <w:r w:rsidRPr="00B46382">
        <w:rPr>
          <w:rFonts w:cs="Arial"/>
          <w:color w:val="000000" w:themeColor="text1"/>
          <w:szCs w:val="24"/>
        </w:rPr>
        <w:t xml:space="preserve"> Sullivan</w:t>
      </w:r>
      <w:r w:rsidR="009918DE" w:rsidRPr="00B46382">
        <w:rPr>
          <w:rFonts w:cs="Arial"/>
          <w:color w:val="000000" w:themeColor="text1"/>
          <w:szCs w:val="24"/>
        </w:rPr>
        <w:t xml:space="preserve"> et al, 2</w:t>
      </w:r>
      <w:r w:rsidRPr="00B46382">
        <w:rPr>
          <w:rFonts w:cs="Arial"/>
          <w:color w:val="000000" w:themeColor="text1"/>
          <w:szCs w:val="24"/>
        </w:rPr>
        <w:t xml:space="preserve">013). This literature in addition to the EORR stating that disabled as well students from low household incomes may not have equal opportunity to receive information advice and guidance, </w:t>
      </w:r>
      <w:r w:rsidR="006E518F" w:rsidRPr="00B46382">
        <w:rPr>
          <w:rFonts w:cs="Arial"/>
          <w:color w:val="000000" w:themeColor="text1"/>
          <w:szCs w:val="24"/>
        </w:rPr>
        <w:t xml:space="preserve">also </w:t>
      </w:r>
      <w:r w:rsidRPr="00B46382">
        <w:rPr>
          <w:rFonts w:cs="Arial"/>
          <w:color w:val="000000" w:themeColor="text1"/>
          <w:szCs w:val="24"/>
        </w:rPr>
        <w:t>provid</w:t>
      </w:r>
      <w:r w:rsidR="006E518F" w:rsidRPr="00B46382">
        <w:rPr>
          <w:rFonts w:cs="Arial"/>
          <w:color w:val="000000" w:themeColor="text1"/>
          <w:szCs w:val="24"/>
        </w:rPr>
        <w:t>ing</w:t>
      </w:r>
      <w:r w:rsidRPr="00B46382">
        <w:rPr>
          <w:rFonts w:cs="Arial"/>
          <w:color w:val="000000" w:themeColor="text1"/>
          <w:szCs w:val="24"/>
        </w:rPr>
        <w:t xml:space="preserve"> </w:t>
      </w:r>
      <w:r w:rsidR="006E518F" w:rsidRPr="00B46382">
        <w:rPr>
          <w:rFonts w:cs="Arial"/>
          <w:color w:val="000000" w:themeColor="text1"/>
          <w:szCs w:val="24"/>
        </w:rPr>
        <w:t>further</w:t>
      </w:r>
      <w:r w:rsidRPr="00B46382">
        <w:rPr>
          <w:rFonts w:cs="Arial"/>
          <w:color w:val="000000" w:themeColor="text1"/>
          <w:szCs w:val="24"/>
        </w:rPr>
        <w:t xml:space="preserve"> evidenced-based rationale for activity IS1.1.</w:t>
      </w:r>
    </w:p>
    <w:p w14:paraId="2CFDC189" w14:textId="77777777" w:rsidR="00402E25" w:rsidRPr="00B46382" w:rsidRDefault="00402E25" w:rsidP="00505B30">
      <w:pPr>
        <w:spacing w:after="0" w:line="240" w:lineRule="auto"/>
        <w:rPr>
          <w:rFonts w:cs="Arial"/>
          <w:color w:val="171413"/>
          <w:szCs w:val="24"/>
          <w:shd w:val="clear" w:color="auto" w:fill="FFFFFF"/>
        </w:rPr>
      </w:pPr>
    </w:p>
    <w:p w14:paraId="78A97BB1" w14:textId="68072FDA" w:rsidR="000A008B" w:rsidRPr="00B46382" w:rsidRDefault="00310389" w:rsidP="00505B30">
      <w:pPr>
        <w:spacing w:after="0" w:line="240" w:lineRule="auto"/>
        <w:rPr>
          <w:rFonts w:cs="Arial"/>
          <w:color w:val="171413"/>
          <w:szCs w:val="24"/>
          <w:shd w:val="clear" w:color="auto" w:fill="FFFFFF"/>
        </w:rPr>
      </w:pPr>
      <w:r w:rsidRPr="00B46382">
        <w:rPr>
          <w:rFonts w:cs="Arial"/>
          <w:color w:val="171413"/>
          <w:szCs w:val="24"/>
          <w:shd w:val="clear" w:color="auto" w:fill="FFFFFF"/>
        </w:rPr>
        <w:t>Offerin</w:t>
      </w:r>
      <w:r w:rsidR="00DB7195" w:rsidRPr="00B46382">
        <w:rPr>
          <w:rFonts w:cs="Arial"/>
          <w:color w:val="171413"/>
          <w:szCs w:val="24"/>
          <w:shd w:val="clear" w:color="auto" w:fill="FFFFFF"/>
        </w:rPr>
        <w:t>g</w:t>
      </w:r>
      <w:r w:rsidRPr="00B46382">
        <w:rPr>
          <w:rFonts w:cs="Arial"/>
          <w:color w:val="171413"/>
          <w:szCs w:val="24"/>
          <w:shd w:val="clear" w:color="auto" w:fill="FFFFFF"/>
        </w:rPr>
        <w:t xml:space="preserve"> specific </w:t>
      </w:r>
      <w:r w:rsidR="00DB7195" w:rsidRPr="00B46382">
        <w:rPr>
          <w:rFonts w:cs="Arial"/>
          <w:color w:val="171413"/>
          <w:szCs w:val="24"/>
          <w:shd w:val="clear" w:color="auto" w:fill="FFFFFF"/>
        </w:rPr>
        <w:t xml:space="preserve">academic </w:t>
      </w:r>
      <w:r w:rsidRPr="00B46382">
        <w:rPr>
          <w:rFonts w:cs="Arial"/>
          <w:color w:val="171413"/>
          <w:szCs w:val="24"/>
          <w:shd w:val="clear" w:color="auto" w:fill="FFFFFF"/>
        </w:rPr>
        <w:t>workshops and one to one support</w:t>
      </w:r>
      <w:r w:rsidR="00D17DFB" w:rsidRPr="00B46382">
        <w:rPr>
          <w:rFonts w:cs="Arial"/>
          <w:color w:val="171413"/>
          <w:szCs w:val="24"/>
          <w:shd w:val="clear" w:color="auto" w:fill="FFFFFF"/>
        </w:rPr>
        <w:t xml:space="preserve"> (IS </w:t>
      </w:r>
      <w:r w:rsidR="002D65C6" w:rsidRPr="00B46382">
        <w:rPr>
          <w:rFonts w:cs="Arial"/>
          <w:color w:val="171413"/>
          <w:szCs w:val="24"/>
          <w:shd w:val="clear" w:color="auto" w:fill="FFFFFF"/>
        </w:rPr>
        <w:t>1.2</w:t>
      </w:r>
      <w:r w:rsidR="00D17DFB" w:rsidRPr="00B46382">
        <w:rPr>
          <w:rFonts w:cs="Arial"/>
          <w:color w:val="171413"/>
          <w:szCs w:val="24"/>
          <w:shd w:val="clear" w:color="auto" w:fill="FFFFFF"/>
        </w:rPr>
        <w:t>)</w:t>
      </w:r>
      <w:r w:rsidRPr="00B46382">
        <w:rPr>
          <w:rFonts w:cs="Arial"/>
          <w:color w:val="171413"/>
          <w:szCs w:val="24"/>
          <w:shd w:val="clear" w:color="auto" w:fill="FFFFFF"/>
        </w:rPr>
        <w:t xml:space="preserve"> </w:t>
      </w:r>
      <w:r w:rsidR="005B023C" w:rsidRPr="00B46382">
        <w:rPr>
          <w:rFonts w:cs="Arial"/>
          <w:color w:val="171413"/>
          <w:szCs w:val="24"/>
          <w:shd w:val="clear" w:color="auto" w:fill="FFFFFF"/>
        </w:rPr>
        <w:t xml:space="preserve">we believe will support </w:t>
      </w:r>
      <w:r w:rsidR="00714B1F" w:rsidRPr="00B46382">
        <w:rPr>
          <w:rFonts w:cs="Arial"/>
          <w:color w:val="171413"/>
          <w:szCs w:val="24"/>
          <w:shd w:val="clear" w:color="auto" w:fill="FFFFFF"/>
        </w:rPr>
        <w:t xml:space="preserve">knowledge and </w:t>
      </w:r>
      <w:r w:rsidR="00DB7195" w:rsidRPr="00B46382">
        <w:rPr>
          <w:rFonts w:cs="Arial"/>
          <w:color w:val="171413"/>
          <w:szCs w:val="24"/>
          <w:shd w:val="clear" w:color="auto" w:fill="FFFFFF"/>
        </w:rPr>
        <w:t xml:space="preserve">skills development, </w:t>
      </w:r>
      <w:r w:rsidR="005B023C" w:rsidRPr="00B46382">
        <w:rPr>
          <w:rFonts w:cs="Arial"/>
          <w:color w:val="171413"/>
          <w:szCs w:val="24"/>
          <w:shd w:val="clear" w:color="auto" w:fill="FFFFFF"/>
        </w:rPr>
        <w:t>achievement</w:t>
      </w:r>
      <w:r w:rsidR="00D17DFB" w:rsidRPr="00B46382">
        <w:rPr>
          <w:rFonts w:cs="Arial"/>
          <w:color w:val="171413"/>
          <w:szCs w:val="24"/>
          <w:shd w:val="clear" w:color="auto" w:fill="FFFFFF"/>
        </w:rPr>
        <w:t xml:space="preserve"> and reduce the </w:t>
      </w:r>
      <w:r w:rsidR="0085636A" w:rsidRPr="00B46382">
        <w:rPr>
          <w:rFonts w:cs="Arial"/>
          <w:color w:val="171413"/>
          <w:szCs w:val="24"/>
          <w:shd w:val="clear" w:color="auto" w:fill="FFFFFF"/>
        </w:rPr>
        <w:t>achievement gap between socio-economic groups</w:t>
      </w:r>
      <w:r w:rsidR="005B023C" w:rsidRPr="00B46382">
        <w:rPr>
          <w:rFonts w:cs="Arial"/>
          <w:color w:val="171413"/>
          <w:szCs w:val="24"/>
          <w:shd w:val="clear" w:color="auto" w:fill="FFFFFF"/>
        </w:rPr>
        <w:t>.</w:t>
      </w:r>
      <w:r w:rsidR="0085636A" w:rsidRPr="00B46382">
        <w:rPr>
          <w:rFonts w:cs="Arial"/>
          <w:color w:val="171413"/>
          <w:szCs w:val="24"/>
          <w:shd w:val="clear" w:color="auto" w:fill="FFFFFF"/>
        </w:rPr>
        <w:t xml:space="preserve"> </w:t>
      </w:r>
      <w:r w:rsidR="001E7FFD" w:rsidRPr="00B46382">
        <w:rPr>
          <w:rFonts w:cs="Arial"/>
          <w:color w:val="171413"/>
          <w:szCs w:val="24"/>
          <w:shd w:val="clear" w:color="auto" w:fill="FFFFFF"/>
        </w:rPr>
        <w:t xml:space="preserve">It is known </w:t>
      </w:r>
      <w:r w:rsidR="003B6BB3" w:rsidRPr="00B46382">
        <w:rPr>
          <w:rFonts w:cs="Arial"/>
          <w:color w:val="373737"/>
          <w:szCs w:val="24"/>
          <w:shd w:val="clear" w:color="auto" w:fill="FFFFFF"/>
        </w:rPr>
        <w:t>that there is a strong association between study strategies and academic attainment</w:t>
      </w:r>
      <w:r w:rsidR="003674F6" w:rsidRPr="00B46382">
        <w:rPr>
          <w:rFonts w:cs="Arial"/>
          <w:color w:val="373737"/>
          <w:szCs w:val="24"/>
          <w:shd w:val="clear" w:color="auto" w:fill="FFFFFF"/>
        </w:rPr>
        <w:t xml:space="preserve"> (</w:t>
      </w:r>
      <w:proofErr w:type="spellStart"/>
      <w:r w:rsidR="003674F6" w:rsidRPr="00B46382">
        <w:rPr>
          <w:rFonts w:cs="Arial"/>
          <w:color w:val="373737"/>
          <w:szCs w:val="24"/>
          <w:shd w:val="clear" w:color="auto" w:fill="FFFFFF"/>
        </w:rPr>
        <w:t>Dunlosky</w:t>
      </w:r>
      <w:proofErr w:type="spellEnd"/>
      <w:r w:rsidR="003674F6" w:rsidRPr="00B46382">
        <w:rPr>
          <w:rFonts w:cs="Arial"/>
          <w:color w:val="373737"/>
          <w:szCs w:val="24"/>
          <w:shd w:val="clear" w:color="auto" w:fill="FFFFFF"/>
        </w:rPr>
        <w:t xml:space="preserve"> et al, 2013).</w:t>
      </w:r>
      <w:r w:rsidR="006C31C2" w:rsidRPr="00B46382">
        <w:rPr>
          <w:rFonts w:cs="Arial"/>
          <w:color w:val="373737"/>
          <w:szCs w:val="24"/>
          <w:shd w:val="clear" w:color="auto" w:fill="FFFFFF"/>
        </w:rPr>
        <w:t xml:space="preserve"> </w:t>
      </w:r>
      <w:r w:rsidR="003B6BB3" w:rsidRPr="00B46382">
        <w:rPr>
          <w:rFonts w:cs="Arial"/>
          <w:color w:val="373737"/>
          <w:szCs w:val="24"/>
          <w:shd w:val="clear" w:color="auto" w:fill="FFFFFF"/>
        </w:rPr>
        <w:t xml:space="preserve">Therefore, using tutoring as a mechanism to enhance how </w:t>
      </w:r>
      <w:proofErr w:type="gramStart"/>
      <w:r w:rsidR="003B6BB3" w:rsidRPr="00B46382">
        <w:rPr>
          <w:rFonts w:cs="Arial"/>
          <w:color w:val="373737"/>
          <w:szCs w:val="24"/>
          <w:shd w:val="clear" w:color="auto" w:fill="FFFFFF"/>
        </w:rPr>
        <w:t>students</w:t>
      </w:r>
      <w:proofErr w:type="gramEnd"/>
      <w:r w:rsidR="003B6BB3" w:rsidRPr="00B46382">
        <w:rPr>
          <w:rFonts w:cs="Arial"/>
          <w:color w:val="373737"/>
          <w:szCs w:val="24"/>
          <w:shd w:val="clear" w:color="auto" w:fill="FFFFFF"/>
        </w:rPr>
        <w:t xml:space="preserve"> study </w:t>
      </w:r>
      <w:r w:rsidR="00F002DD" w:rsidRPr="00B46382">
        <w:rPr>
          <w:rFonts w:cs="Arial"/>
          <w:color w:val="373737"/>
          <w:szCs w:val="24"/>
          <w:shd w:val="clear" w:color="auto" w:fill="FFFFFF"/>
        </w:rPr>
        <w:t>(e.g. developing academic writing through parap</w:t>
      </w:r>
      <w:r w:rsidR="00E1546C" w:rsidRPr="00B46382">
        <w:rPr>
          <w:rFonts w:cs="Arial"/>
          <w:color w:val="373737"/>
          <w:szCs w:val="24"/>
          <w:shd w:val="clear" w:color="auto" w:fill="FFFFFF"/>
        </w:rPr>
        <w:t xml:space="preserve">hrasing workshops </w:t>
      </w:r>
      <w:r w:rsidR="00D15AB9" w:rsidRPr="00B46382">
        <w:rPr>
          <w:rFonts w:cs="Arial"/>
          <w:color w:val="373737"/>
          <w:szCs w:val="24"/>
          <w:shd w:val="clear" w:color="auto" w:fill="FFFFFF"/>
        </w:rPr>
        <w:t>(</w:t>
      </w:r>
      <w:r w:rsidR="00E1546C" w:rsidRPr="00B46382">
        <w:rPr>
          <w:rFonts w:cs="Arial"/>
          <w:color w:val="373737"/>
          <w:szCs w:val="24"/>
          <w:shd w:val="clear" w:color="auto" w:fill="FFFFFF"/>
        </w:rPr>
        <w:t>IS</w:t>
      </w:r>
      <w:r w:rsidR="00D15AB9" w:rsidRPr="00B46382">
        <w:rPr>
          <w:rFonts w:cs="Arial"/>
          <w:color w:val="373737"/>
          <w:szCs w:val="24"/>
          <w:shd w:val="clear" w:color="auto" w:fill="FFFFFF"/>
        </w:rPr>
        <w:t>1.2</w:t>
      </w:r>
      <w:r w:rsidR="00E1546C" w:rsidRPr="00B46382">
        <w:rPr>
          <w:rFonts w:cs="Arial"/>
          <w:color w:val="373737"/>
          <w:szCs w:val="24"/>
          <w:shd w:val="clear" w:color="auto" w:fill="FFFFFF"/>
        </w:rPr>
        <w:t xml:space="preserve">) </w:t>
      </w:r>
      <w:r w:rsidR="00D15AB9" w:rsidRPr="00B46382">
        <w:rPr>
          <w:rFonts w:cs="Arial"/>
          <w:color w:val="373737"/>
          <w:szCs w:val="24"/>
          <w:shd w:val="clear" w:color="auto" w:fill="FFFFFF"/>
        </w:rPr>
        <w:t>provides</w:t>
      </w:r>
      <w:r w:rsidR="003B6BB3" w:rsidRPr="00B46382">
        <w:rPr>
          <w:rFonts w:cs="Arial"/>
          <w:color w:val="373737"/>
          <w:szCs w:val="24"/>
          <w:shd w:val="clear" w:color="auto" w:fill="FFFFFF"/>
        </w:rPr>
        <w:t xml:space="preserve"> </w:t>
      </w:r>
      <w:r w:rsidR="00E04AC6" w:rsidRPr="00B46382">
        <w:rPr>
          <w:rFonts w:cs="Arial"/>
          <w:color w:val="373737"/>
          <w:szCs w:val="24"/>
          <w:shd w:val="clear" w:color="auto" w:fill="FFFFFF"/>
        </w:rPr>
        <w:t>an</w:t>
      </w:r>
      <w:r w:rsidR="003B6BB3" w:rsidRPr="00B46382">
        <w:rPr>
          <w:rFonts w:cs="Arial"/>
          <w:color w:val="373737"/>
          <w:szCs w:val="24"/>
          <w:shd w:val="clear" w:color="auto" w:fill="FFFFFF"/>
        </w:rPr>
        <w:t xml:space="preserve"> evidence-based approach to raising attainment</w:t>
      </w:r>
      <w:r w:rsidR="00494A58" w:rsidRPr="00B46382">
        <w:rPr>
          <w:rFonts w:cs="Arial"/>
          <w:color w:val="373737"/>
          <w:szCs w:val="24"/>
          <w:shd w:val="clear" w:color="auto" w:fill="FFFFFF"/>
        </w:rPr>
        <w:t xml:space="preserve"> (The Brilliant Club, 2022)</w:t>
      </w:r>
      <w:r w:rsidR="003B6BB3" w:rsidRPr="00B46382">
        <w:rPr>
          <w:rFonts w:cs="Arial"/>
          <w:color w:val="373737"/>
          <w:szCs w:val="24"/>
          <w:shd w:val="clear" w:color="auto" w:fill="FFFFFF"/>
        </w:rPr>
        <w:t>.</w:t>
      </w:r>
      <w:r w:rsidR="005B023C" w:rsidRPr="00B46382">
        <w:rPr>
          <w:rFonts w:cs="Arial"/>
          <w:color w:val="171413"/>
          <w:szCs w:val="24"/>
          <w:shd w:val="clear" w:color="auto" w:fill="FFFFFF"/>
        </w:rPr>
        <w:t xml:space="preserve"> </w:t>
      </w:r>
    </w:p>
    <w:p w14:paraId="75321A42" w14:textId="77777777" w:rsidR="00E04AC6" w:rsidRPr="00B46382" w:rsidRDefault="00E04AC6" w:rsidP="00505B30">
      <w:pPr>
        <w:spacing w:after="0" w:line="240" w:lineRule="auto"/>
        <w:rPr>
          <w:rFonts w:cs="Arial"/>
          <w:color w:val="171413"/>
          <w:szCs w:val="24"/>
          <w:shd w:val="clear" w:color="auto" w:fill="FFFFFF"/>
        </w:rPr>
      </w:pPr>
    </w:p>
    <w:p w14:paraId="52DC013E" w14:textId="166FF8D0" w:rsidR="009558E6" w:rsidRPr="00B46382" w:rsidRDefault="0067784A" w:rsidP="002208C0">
      <w:pPr>
        <w:spacing w:after="0" w:line="240" w:lineRule="auto"/>
        <w:rPr>
          <w:rFonts w:cs="Arial"/>
          <w:color w:val="333333"/>
          <w:szCs w:val="24"/>
        </w:rPr>
      </w:pPr>
      <w:r w:rsidRPr="00B46382">
        <w:rPr>
          <w:rFonts w:cs="Arial"/>
          <w:color w:val="171413"/>
          <w:szCs w:val="24"/>
          <w:shd w:val="clear" w:color="auto" w:fill="FFFFFF"/>
        </w:rPr>
        <w:t xml:space="preserve">The literature here is also supported by our own internal narrative. </w:t>
      </w:r>
      <w:r w:rsidR="00E04AC6" w:rsidRPr="00B46382">
        <w:rPr>
          <w:rFonts w:cs="Arial"/>
          <w:color w:val="171413"/>
          <w:szCs w:val="24"/>
          <w:shd w:val="clear" w:color="auto" w:fill="FFFFFF"/>
        </w:rPr>
        <w:t xml:space="preserve">We </w:t>
      </w:r>
      <w:r w:rsidR="00666CEF" w:rsidRPr="00B46382">
        <w:rPr>
          <w:rFonts w:cs="Arial"/>
          <w:color w:val="171413"/>
          <w:szCs w:val="24"/>
          <w:shd w:val="clear" w:color="auto" w:fill="FFFFFF"/>
        </w:rPr>
        <w:t xml:space="preserve">recognise the need </w:t>
      </w:r>
      <w:r w:rsidR="00364DD6" w:rsidRPr="00B46382">
        <w:rPr>
          <w:rFonts w:cs="Arial"/>
          <w:color w:val="171413"/>
          <w:szCs w:val="24"/>
          <w:shd w:val="clear" w:color="auto" w:fill="FFFFFF"/>
        </w:rPr>
        <w:t xml:space="preserve">to develop </w:t>
      </w:r>
      <w:r w:rsidR="00E04AC6" w:rsidRPr="00B46382">
        <w:rPr>
          <w:rFonts w:cs="Arial"/>
          <w:color w:val="171413"/>
          <w:szCs w:val="24"/>
          <w:shd w:val="clear" w:color="auto" w:fill="FFFFFF"/>
        </w:rPr>
        <w:t xml:space="preserve">such an intervention </w:t>
      </w:r>
      <w:r w:rsidR="00E851E7" w:rsidRPr="00B46382">
        <w:rPr>
          <w:rFonts w:cs="Arial"/>
          <w:color w:val="171413"/>
          <w:szCs w:val="24"/>
          <w:shd w:val="clear" w:color="auto" w:fill="FFFFFF"/>
        </w:rPr>
        <w:t xml:space="preserve">activity from our </w:t>
      </w:r>
      <w:r w:rsidR="00292134" w:rsidRPr="00B46382">
        <w:rPr>
          <w:rFonts w:cs="Arial"/>
          <w:color w:val="333333"/>
          <w:szCs w:val="24"/>
        </w:rPr>
        <w:t xml:space="preserve">initial findings from a </w:t>
      </w:r>
      <w:r w:rsidR="00861DE9" w:rsidRPr="00B46382">
        <w:rPr>
          <w:rFonts w:cs="Arial"/>
          <w:color w:val="333333"/>
          <w:szCs w:val="24"/>
        </w:rPr>
        <w:t>pilot study</w:t>
      </w:r>
      <w:r w:rsidR="00292134" w:rsidRPr="00B46382">
        <w:rPr>
          <w:rFonts w:cs="Arial"/>
          <w:color w:val="333333"/>
          <w:szCs w:val="24"/>
        </w:rPr>
        <w:t xml:space="preserve"> ‘Moving on Up’</w:t>
      </w:r>
      <w:r w:rsidR="002B00C6" w:rsidRPr="00B46382">
        <w:rPr>
          <w:rFonts w:cs="Arial"/>
          <w:color w:val="333333"/>
          <w:szCs w:val="24"/>
        </w:rPr>
        <w:t>. We collated 48 survey responses</w:t>
      </w:r>
      <w:r w:rsidR="0033227C" w:rsidRPr="00B46382">
        <w:rPr>
          <w:rFonts w:cs="Arial"/>
          <w:color w:val="333333"/>
          <w:szCs w:val="24"/>
        </w:rPr>
        <w:t xml:space="preserve"> that asked HE lecturers</w:t>
      </w:r>
      <w:r w:rsidR="00FC3D3D" w:rsidRPr="00B46382">
        <w:rPr>
          <w:rFonts w:cs="Arial"/>
          <w:color w:val="333333"/>
          <w:szCs w:val="24"/>
        </w:rPr>
        <w:t xml:space="preserve"> how they thought they embedded specific academic and personal</w:t>
      </w:r>
      <w:r w:rsidR="00A57223" w:rsidRPr="00B46382">
        <w:rPr>
          <w:rFonts w:cs="Arial"/>
          <w:color w:val="333333"/>
          <w:szCs w:val="24"/>
        </w:rPr>
        <w:t xml:space="preserve"> development</w:t>
      </w:r>
      <w:r w:rsidR="00FC3D3D" w:rsidRPr="00B46382">
        <w:rPr>
          <w:rFonts w:cs="Arial"/>
          <w:color w:val="333333"/>
          <w:szCs w:val="24"/>
        </w:rPr>
        <w:t xml:space="preserve"> skills.</w:t>
      </w:r>
      <w:r w:rsidR="00D5658A" w:rsidRPr="00B46382">
        <w:rPr>
          <w:rFonts w:cs="Arial"/>
          <w:color w:val="333333"/>
          <w:szCs w:val="24"/>
        </w:rPr>
        <w:t xml:space="preserve"> In terms of </w:t>
      </w:r>
      <w:r w:rsidR="000C523B" w:rsidRPr="00B46382">
        <w:rPr>
          <w:rFonts w:cs="Arial"/>
          <w:color w:val="333333"/>
          <w:szCs w:val="24"/>
        </w:rPr>
        <w:t>academic writing</w:t>
      </w:r>
      <w:r w:rsidR="00A57223" w:rsidRPr="00B46382">
        <w:rPr>
          <w:rFonts w:cs="Arial"/>
          <w:color w:val="333333"/>
          <w:szCs w:val="24"/>
        </w:rPr>
        <w:t>:</w:t>
      </w:r>
      <w:r w:rsidR="000C523B" w:rsidRPr="00B46382">
        <w:rPr>
          <w:rFonts w:cs="Arial"/>
          <w:color w:val="333333"/>
          <w:szCs w:val="24"/>
        </w:rPr>
        <w:t xml:space="preserve"> 56.6% said </w:t>
      </w:r>
      <w:r w:rsidR="00A73C0E" w:rsidRPr="00B46382">
        <w:rPr>
          <w:rFonts w:cs="Arial"/>
          <w:color w:val="333333"/>
          <w:szCs w:val="24"/>
        </w:rPr>
        <w:t xml:space="preserve">‘always’, 39.6% said sometimes and 4.2% said </w:t>
      </w:r>
      <w:r w:rsidR="002C08B2" w:rsidRPr="00B46382">
        <w:rPr>
          <w:rFonts w:cs="Arial"/>
          <w:color w:val="333333"/>
          <w:szCs w:val="24"/>
        </w:rPr>
        <w:t xml:space="preserve">don’t. This provides us with further rationale </w:t>
      </w:r>
      <w:r w:rsidR="003D14AF" w:rsidRPr="00B46382">
        <w:rPr>
          <w:rFonts w:cs="Arial"/>
          <w:color w:val="333333"/>
          <w:szCs w:val="24"/>
        </w:rPr>
        <w:t>to support students</w:t>
      </w:r>
      <w:r w:rsidR="00EA7EA8" w:rsidRPr="00B46382">
        <w:rPr>
          <w:rFonts w:cs="Arial"/>
          <w:color w:val="333333"/>
          <w:szCs w:val="24"/>
        </w:rPr>
        <w:t xml:space="preserve"> with academic skills</w:t>
      </w:r>
      <w:r w:rsidR="00B80A8D" w:rsidRPr="00B46382">
        <w:rPr>
          <w:rFonts w:cs="Arial"/>
          <w:color w:val="333333"/>
          <w:szCs w:val="24"/>
        </w:rPr>
        <w:t xml:space="preserve"> (IS1.2)</w:t>
      </w:r>
      <w:r w:rsidR="003D14AF" w:rsidRPr="00B46382">
        <w:rPr>
          <w:rFonts w:cs="Arial"/>
          <w:color w:val="333333"/>
          <w:szCs w:val="24"/>
        </w:rPr>
        <w:t>.</w:t>
      </w:r>
      <w:r w:rsidR="009E72C7" w:rsidRPr="00B46382">
        <w:rPr>
          <w:rFonts w:cs="Arial"/>
          <w:color w:val="333333"/>
          <w:szCs w:val="24"/>
        </w:rPr>
        <w:t xml:space="preserve"> Our data also tells us that many of our </w:t>
      </w:r>
      <w:r w:rsidR="006D2FD6" w:rsidRPr="00B46382">
        <w:rPr>
          <w:rFonts w:cs="Arial"/>
          <w:color w:val="333333"/>
          <w:szCs w:val="24"/>
        </w:rPr>
        <w:t xml:space="preserve">young </w:t>
      </w:r>
      <w:r w:rsidR="009E72C7" w:rsidRPr="00B46382">
        <w:rPr>
          <w:rFonts w:cs="Arial"/>
          <w:color w:val="333333"/>
          <w:szCs w:val="24"/>
        </w:rPr>
        <w:t xml:space="preserve">HE </w:t>
      </w:r>
      <w:proofErr w:type="spellStart"/>
      <w:r w:rsidR="009E72C7" w:rsidRPr="00B46382">
        <w:rPr>
          <w:rFonts w:cs="Arial"/>
          <w:color w:val="333333"/>
          <w:szCs w:val="24"/>
        </w:rPr>
        <w:t>students</w:t>
      </w:r>
      <w:proofErr w:type="spellEnd"/>
      <w:r w:rsidR="009E72C7" w:rsidRPr="00B46382">
        <w:rPr>
          <w:rFonts w:cs="Arial"/>
          <w:color w:val="333333"/>
          <w:szCs w:val="24"/>
        </w:rPr>
        <w:t xml:space="preserve"> progress from </w:t>
      </w:r>
      <w:r w:rsidR="00A8555F" w:rsidRPr="00B46382">
        <w:rPr>
          <w:rFonts w:cs="Arial"/>
          <w:color w:val="333333"/>
          <w:szCs w:val="24"/>
        </w:rPr>
        <w:t xml:space="preserve">our level 3 </w:t>
      </w:r>
      <w:r w:rsidR="009E72C7" w:rsidRPr="00B46382">
        <w:rPr>
          <w:rFonts w:cs="Arial"/>
          <w:color w:val="333333"/>
          <w:szCs w:val="24"/>
        </w:rPr>
        <w:t>courses with</w:t>
      </w:r>
      <w:r w:rsidR="00A8555F" w:rsidRPr="00B46382">
        <w:rPr>
          <w:rFonts w:cs="Arial"/>
          <w:color w:val="333333"/>
          <w:szCs w:val="24"/>
        </w:rPr>
        <w:t xml:space="preserve"> </w:t>
      </w:r>
      <w:r w:rsidR="00292134" w:rsidRPr="00B46382">
        <w:rPr>
          <w:rFonts w:cs="Arial"/>
          <w:color w:val="333333"/>
          <w:szCs w:val="24"/>
        </w:rPr>
        <w:t>low entry grades</w:t>
      </w:r>
      <w:r w:rsidR="00B732D8" w:rsidRPr="00B46382">
        <w:rPr>
          <w:rFonts w:cs="Arial"/>
          <w:color w:val="333333"/>
          <w:szCs w:val="24"/>
        </w:rPr>
        <w:t>/starting points</w:t>
      </w:r>
      <w:r w:rsidR="00292134" w:rsidRPr="00B46382">
        <w:rPr>
          <w:rFonts w:cs="Arial"/>
          <w:color w:val="333333"/>
          <w:szCs w:val="24"/>
        </w:rPr>
        <w:t xml:space="preserve">. </w:t>
      </w:r>
      <w:r w:rsidR="00B732D8" w:rsidRPr="00B46382">
        <w:rPr>
          <w:rFonts w:cs="Arial"/>
          <w:color w:val="333333"/>
          <w:szCs w:val="24"/>
        </w:rPr>
        <w:t>Although t</w:t>
      </w:r>
      <w:r w:rsidR="00292134" w:rsidRPr="00B46382">
        <w:rPr>
          <w:rFonts w:cs="Arial"/>
          <w:color w:val="333333"/>
          <w:szCs w:val="24"/>
        </w:rPr>
        <w:t xml:space="preserve">his makes our courses more accessible for our students </w:t>
      </w:r>
      <w:r w:rsidR="006F386A" w:rsidRPr="00B46382">
        <w:rPr>
          <w:rFonts w:cs="Arial"/>
          <w:color w:val="333333"/>
          <w:szCs w:val="24"/>
        </w:rPr>
        <w:t xml:space="preserve">compared to </w:t>
      </w:r>
      <w:r w:rsidR="00292134" w:rsidRPr="00B46382">
        <w:rPr>
          <w:rFonts w:cs="Arial"/>
          <w:color w:val="333333"/>
          <w:szCs w:val="24"/>
        </w:rPr>
        <w:t>other local and national HE institutes set</w:t>
      </w:r>
      <w:r w:rsidR="00F7190E" w:rsidRPr="00B46382">
        <w:rPr>
          <w:rFonts w:cs="Arial"/>
          <w:color w:val="333333"/>
          <w:szCs w:val="24"/>
        </w:rPr>
        <w:t>ting</w:t>
      </w:r>
      <w:r w:rsidR="00292134" w:rsidRPr="00B46382">
        <w:rPr>
          <w:rFonts w:cs="Arial"/>
          <w:color w:val="333333"/>
          <w:szCs w:val="24"/>
        </w:rPr>
        <w:t xml:space="preserve"> higher entry requirements</w:t>
      </w:r>
      <w:r w:rsidR="00B51F5E" w:rsidRPr="00B46382">
        <w:rPr>
          <w:rFonts w:cs="Arial"/>
          <w:color w:val="333333"/>
          <w:szCs w:val="24"/>
        </w:rPr>
        <w:t>, they may</w:t>
      </w:r>
      <w:r w:rsidR="00292134" w:rsidRPr="00B46382">
        <w:rPr>
          <w:rFonts w:cs="Arial"/>
          <w:color w:val="333333"/>
          <w:szCs w:val="24"/>
        </w:rPr>
        <w:t xml:space="preserve"> face greater </w:t>
      </w:r>
      <w:r w:rsidR="00B51F5E" w:rsidRPr="00B46382">
        <w:rPr>
          <w:rFonts w:cs="Arial"/>
          <w:color w:val="333333"/>
          <w:szCs w:val="24"/>
        </w:rPr>
        <w:t xml:space="preserve">academic </w:t>
      </w:r>
      <w:r w:rsidR="00292134" w:rsidRPr="00B46382">
        <w:rPr>
          <w:rFonts w:cs="Arial"/>
          <w:color w:val="333333"/>
          <w:szCs w:val="24"/>
        </w:rPr>
        <w:t>challenges</w:t>
      </w:r>
      <w:r w:rsidR="0020326D" w:rsidRPr="00B46382">
        <w:rPr>
          <w:rFonts w:cs="Arial"/>
          <w:color w:val="333333"/>
          <w:szCs w:val="24"/>
        </w:rPr>
        <w:t xml:space="preserve">. </w:t>
      </w:r>
      <w:r w:rsidR="00292134" w:rsidRPr="00B46382">
        <w:rPr>
          <w:rFonts w:cs="Arial"/>
          <w:color w:val="333333"/>
          <w:szCs w:val="24"/>
        </w:rPr>
        <w:t>We feel this may be a significant contributory factor leading to the lower achievement of young students compared to their mature counterparts</w:t>
      </w:r>
      <w:r w:rsidR="00B73709" w:rsidRPr="00B46382">
        <w:rPr>
          <w:rFonts w:cs="Arial"/>
          <w:color w:val="333333"/>
          <w:szCs w:val="24"/>
        </w:rPr>
        <w:t>.</w:t>
      </w:r>
    </w:p>
    <w:p w14:paraId="3C97972B" w14:textId="77777777" w:rsidR="00BF3490" w:rsidRPr="00B46382" w:rsidRDefault="00BF3490" w:rsidP="002208C0">
      <w:pPr>
        <w:spacing w:after="0" w:line="240" w:lineRule="auto"/>
        <w:rPr>
          <w:rFonts w:cs="Arial"/>
          <w:color w:val="333333"/>
          <w:szCs w:val="24"/>
        </w:rPr>
      </w:pPr>
    </w:p>
    <w:p w14:paraId="6567CA92" w14:textId="1F6B1FD0" w:rsidR="009558E6" w:rsidRPr="00B46382" w:rsidRDefault="008B4364" w:rsidP="00AF0704">
      <w:pPr>
        <w:rPr>
          <w:rFonts w:cs="Arial"/>
          <w:szCs w:val="24"/>
        </w:rPr>
      </w:pPr>
      <w:r w:rsidRPr="00B46382">
        <w:rPr>
          <w:rFonts w:cs="Arial"/>
          <w:szCs w:val="24"/>
        </w:rPr>
        <w:t>Additionally, a</w:t>
      </w:r>
      <w:r w:rsidR="0021698D" w:rsidRPr="00B46382">
        <w:rPr>
          <w:rFonts w:cs="Arial"/>
          <w:szCs w:val="24"/>
        </w:rPr>
        <w:t xml:space="preserve">s part of our HE quality processes we regularly hold </w:t>
      </w:r>
      <w:r w:rsidR="008F6182" w:rsidRPr="00B46382">
        <w:rPr>
          <w:rFonts w:cs="Arial"/>
          <w:szCs w:val="24"/>
        </w:rPr>
        <w:t>S</w:t>
      </w:r>
      <w:r w:rsidR="00A505B1" w:rsidRPr="00B46382">
        <w:rPr>
          <w:rFonts w:cs="Arial"/>
          <w:szCs w:val="24"/>
        </w:rPr>
        <w:t>tudent Association Meetings</w:t>
      </w:r>
      <w:r w:rsidR="00B54ACC" w:rsidRPr="00B46382">
        <w:rPr>
          <w:rFonts w:cs="Arial"/>
          <w:szCs w:val="24"/>
        </w:rPr>
        <w:t xml:space="preserve"> (SEMs)</w:t>
      </w:r>
      <w:r w:rsidR="00A8185E" w:rsidRPr="00B46382">
        <w:rPr>
          <w:rFonts w:cs="Arial"/>
          <w:szCs w:val="24"/>
        </w:rPr>
        <w:t xml:space="preserve">. </w:t>
      </w:r>
      <w:r w:rsidR="00815545" w:rsidRPr="00B46382">
        <w:rPr>
          <w:rFonts w:cs="Arial"/>
          <w:szCs w:val="24"/>
        </w:rPr>
        <w:t xml:space="preserve"> Through this </w:t>
      </w:r>
      <w:r w:rsidR="00A8185E" w:rsidRPr="00B46382">
        <w:rPr>
          <w:rFonts w:cs="Arial"/>
          <w:szCs w:val="24"/>
        </w:rPr>
        <w:t>student voice forum</w:t>
      </w:r>
      <w:r w:rsidR="00815545" w:rsidRPr="00B46382">
        <w:rPr>
          <w:rFonts w:cs="Arial"/>
          <w:szCs w:val="24"/>
        </w:rPr>
        <w:t xml:space="preserve">, we have received </w:t>
      </w:r>
      <w:r w:rsidR="001E6FE1" w:rsidRPr="00B46382">
        <w:rPr>
          <w:rFonts w:cs="Arial"/>
          <w:szCs w:val="24"/>
        </w:rPr>
        <w:t xml:space="preserve">invaluable feedback </w:t>
      </w:r>
      <w:r w:rsidRPr="00B46382">
        <w:rPr>
          <w:rFonts w:cs="Arial"/>
          <w:szCs w:val="24"/>
        </w:rPr>
        <w:t xml:space="preserve">(23/24) </w:t>
      </w:r>
      <w:r w:rsidR="001E6FE1" w:rsidRPr="00B46382">
        <w:rPr>
          <w:rFonts w:cs="Arial"/>
          <w:szCs w:val="24"/>
        </w:rPr>
        <w:t xml:space="preserve">that enhanced support </w:t>
      </w:r>
      <w:r w:rsidR="00F979B5" w:rsidRPr="00B46382">
        <w:rPr>
          <w:rFonts w:cs="Arial"/>
          <w:szCs w:val="24"/>
        </w:rPr>
        <w:t xml:space="preserve">with academic skills </w:t>
      </w:r>
      <w:r w:rsidR="001E6FE1" w:rsidRPr="00B46382">
        <w:rPr>
          <w:rFonts w:cs="Arial"/>
          <w:szCs w:val="24"/>
        </w:rPr>
        <w:t>would be welcomed</w:t>
      </w:r>
      <w:r w:rsidR="00033BF8" w:rsidRPr="00B46382">
        <w:rPr>
          <w:rFonts w:cs="Arial"/>
          <w:szCs w:val="24"/>
        </w:rPr>
        <w:t xml:space="preserve"> </w:t>
      </w:r>
      <w:r w:rsidR="009558E6" w:rsidRPr="00B46382">
        <w:rPr>
          <w:rFonts w:cs="Arial"/>
          <w:szCs w:val="24"/>
        </w:rPr>
        <w:t>(IS</w:t>
      </w:r>
      <w:r w:rsidRPr="00B46382">
        <w:rPr>
          <w:rFonts w:cs="Arial"/>
          <w:szCs w:val="24"/>
        </w:rPr>
        <w:t>1.</w:t>
      </w:r>
      <w:r w:rsidR="00AF0704" w:rsidRPr="00B46382">
        <w:rPr>
          <w:rFonts w:cs="Arial"/>
          <w:szCs w:val="24"/>
        </w:rPr>
        <w:t>2</w:t>
      </w:r>
      <w:r w:rsidR="009558E6" w:rsidRPr="00B46382">
        <w:rPr>
          <w:rFonts w:cs="Arial"/>
          <w:szCs w:val="24"/>
        </w:rPr>
        <w:t>)</w:t>
      </w:r>
      <w:r w:rsidR="008477E4" w:rsidRPr="00B46382">
        <w:rPr>
          <w:rFonts w:cs="Arial"/>
          <w:szCs w:val="24"/>
        </w:rPr>
        <w:t>.</w:t>
      </w:r>
    </w:p>
    <w:p w14:paraId="510BF63A" w14:textId="586CEA39" w:rsidR="00E577A3" w:rsidRPr="00B46382" w:rsidRDefault="009558E6" w:rsidP="00C156E9">
      <w:pPr>
        <w:tabs>
          <w:tab w:val="left" w:pos="5320"/>
        </w:tabs>
        <w:rPr>
          <w:rStyle w:val="normaltextrun"/>
          <w:rFonts w:cs="Arial"/>
          <w:szCs w:val="24"/>
          <w:lang w:val="en-US"/>
        </w:rPr>
      </w:pPr>
      <w:r w:rsidRPr="00B46382">
        <w:rPr>
          <w:rFonts w:cs="Arial"/>
          <w:szCs w:val="24"/>
        </w:rPr>
        <w:t>Although 27/28 96% of students</w:t>
      </w:r>
      <w:r w:rsidR="00033BF8" w:rsidRPr="00B46382">
        <w:rPr>
          <w:rFonts w:cs="Arial"/>
          <w:szCs w:val="24"/>
        </w:rPr>
        <w:t xml:space="preserve"> </w:t>
      </w:r>
      <w:r w:rsidR="00C6584A" w:rsidRPr="00B46382">
        <w:rPr>
          <w:rFonts w:cs="Arial"/>
          <w:szCs w:val="24"/>
        </w:rPr>
        <w:t>(</w:t>
      </w:r>
      <w:r w:rsidR="00033BF8" w:rsidRPr="00B46382">
        <w:rPr>
          <w:rFonts w:cs="Arial"/>
          <w:szCs w:val="24"/>
        </w:rPr>
        <w:t xml:space="preserve">in a survey conducted </w:t>
      </w:r>
      <w:r w:rsidR="00C6584A" w:rsidRPr="00B46382">
        <w:rPr>
          <w:rFonts w:cs="Arial"/>
          <w:szCs w:val="24"/>
        </w:rPr>
        <w:t>23/24)</w:t>
      </w:r>
      <w:r w:rsidRPr="00B46382">
        <w:rPr>
          <w:rFonts w:cs="Arial"/>
          <w:szCs w:val="24"/>
        </w:rPr>
        <w:t xml:space="preserve"> were satisfied/very satisfied with the quality of teaching, as well</w:t>
      </w:r>
      <w:r w:rsidR="007C5F38" w:rsidRPr="00B46382">
        <w:rPr>
          <w:rFonts w:cs="Arial"/>
          <w:szCs w:val="24"/>
        </w:rPr>
        <w:t xml:space="preserve"> as</w:t>
      </w:r>
      <w:r w:rsidRPr="00B46382">
        <w:rPr>
          <w:rFonts w:cs="Arial"/>
          <w:szCs w:val="24"/>
        </w:rPr>
        <w:t xml:space="preserve"> </w:t>
      </w:r>
      <w:r w:rsidR="00EC6791" w:rsidRPr="00B46382">
        <w:rPr>
          <w:rFonts w:cs="Arial"/>
          <w:szCs w:val="24"/>
        </w:rPr>
        <w:t>with</w:t>
      </w:r>
      <w:r w:rsidRPr="00B46382">
        <w:rPr>
          <w:rFonts w:cs="Arial"/>
          <w:szCs w:val="24"/>
        </w:rPr>
        <w:t xml:space="preserve"> support from teaching staff, we would like to further develop our Quality Review Process to </w:t>
      </w:r>
      <w:r w:rsidR="00203CC1" w:rsidRPr="00B46382">
        <w:rPr>
          <w:rFonts w:cs="Arial"/>
          <w:szCs w:val="24"/>
        </w:rPr>
        <w:t xml:space="preserve">focus more </w:t>
      </w:r>
      <w:r w:rsidR="00EE5955" w:rsidRPr="00B46382">
        <w:rPr>
          <w:rFonts w:cs="Arial"/>
          <w:szCs w:val="24"/>
        </w:rPr>
        <w:t>on</w:t>
      </w:r>
      <w:r w:rsidRPr="00B46382">
        <w:rPr>
          <w:rFonts w:cs="Arial"/>
          <w:szCs w:val="24"/>
        </w:rPr>
        <w:t xml:space="preserve"> </w:t>
      </w:r>
      <w:r w:rsidR="00EE5955" w:rsidRPr="00B46382">
        <w:rPr>
          <w:rFonts w:cs="Arial"/>
          <w:szCs w:val="24"/>
        </w:rPr>
        <w:t>‘</w:t>
      </w:r>
      <w:r w:rsidRPr="00B46382">
        <w:rPr>
          <w:rFonts w:cs="Arial"/>
          <w:szCs w:val="24"/>
        </w:rPr>
        <w:t>formative assessment</w:t>
      </w:r>
      <w:r w:rsidR="00EE5955" w:rsidRPr="00B46382">
        <w:rPr>
          <w:rFonts w:cs="Arial"/>
          <w:szCs w:val="24"/>
        </w:rPr>
        <w:t>’</w:t>
      </w:r>
      <w:r w:rsidRPr="00B46382">
        <w:rPr>
          <w:rFonts w:cs="Arial"/>
          <w:szCs w:val="24"/>
        </w:rPr>
        <w:t xml:space="preserve"> and provide C</w:t>
      </w:r>
      <w:r w:rsidR="00175468" w:rsidRPr="00B46382">
        <w:rPr>
          <w:rFonts w:cs="Arial"/>
          <w:szCs w:val="24"/>
        </w:rPr>
        <w:t>PD</w:t>
      </w:r>
      <w:r w:rsidRPr="00B46382">
        <w:rPr>
          <w:rFonts w:cs="Arial"/>
          <w:szCs w:val="24"/>
        </w:rPr>
        <w:t xml:space="preserve"> where th</w:t>
      </w:r>
      <w:r w:rsidR="00EE5955" w:rsidRPr="00B46382">
        <w:rPr>
          <w:rFonts w:cs="Arial"/>
          <w:szCs w:val="24"/>
        </w:rPr>
        <w:t>ere is a need</w:t>
      </w:r>
      <w:r w:rsidR="00244619" w:rsidRPr="00B46382">
        <w:rPr>
          <w:rFonts w:cs="Arial"/>
          <w:szCs w:val="24"/>
        </w:rPr>
        <w:t xml:space="preserve"> (IS1.4)</w:t>
      </w:r>
      <w:r w:rsidR="00EE5955" w:rsidRPr="00B46382">
        <w:rPr>
          <w:rFonts w:cs="Arial"/>
          <w:szCs w:val="24"/>
        </w:rPr>
        <w:t>.</w:t>
      </w:r>
      <w:r w:rsidRPr="00B46382">
        <w:rPr>
          <w:rFonts w:cs="Arial"/>
          <w:szCs w:val="24"/>
        </w:rPr>
        <w:t xml:space="preserve"> The rationale being to </w:t>
      </w:r>
      <w:r w:rsidRPr="00B46382">
        <w:rPr>
          <w:rFonts w:cs="Arial"/>
          <w:szCs w:val="24"/>
        </w:rPr>
        <w:lastRenderedPageBreak/>
        <w:t>improve first time submission measures/student achievement, particularly achievement of students of low SES. Although not consistent across all our HE pro</w:t>
      </w:r>
      <w:r w:rsidR="00624FB6" w:rsidRPr="00B46382">
        <w:rPr>
          <w:rFonts w:cs="Arial"/>
          <w:szCs w:val="24"/>
        </w:rPr>
        <w:t>grammes</w:t>
      </w:r>
      <w:r w:rsidRPr="00B46382">
        <w:rPr>
          <w:rFonts w:cs="Arial"/>
          <w:szCs w:val="24"/>
        </w:rPr>
        <w:t>, we are aware that S</w:t>
      </w:r>
      <w:r w:rsidR="00B54ACC" w:rsidRPr="00B46382">
        <w:rPr>
          <w:rFonts w:cs="Arial"/>
          <w:szCs w:val="24"/>
        </w:rPr>
        <w:t>EMs in 2023/4</w:t>
      </w:r>
      <w:r w:rsidRPr="00B46382">
        <w:rPr>
          <w:rFonts w:cs="Arial"/>
          <w:szCs w:val="24"/>
        </w:rPr>
        <w:t xml:space="preserve"> have </w:t>
      </w:r>
      <w:r w:rsidR="000E1AD8" w:rsidRPr="00B46382">
        <w:rPr>
          <w:rFonts w:cs="Arial"/>
          <w:szCs w:val="24"/>
        </w:rPr>
        <w:t xml:space="preserve">documented the request </w:t>
      </w:r>
      <w:r w:rsidRPr="00B46382">
        <w:rPr>
          <w:rFonts w:cs="Arial"/>
          <w:szCs w:val="24"/>
        </w:rPr>
        <w:t xml:space="preserve">for more detailed </w:t>
      </w:r>
      <w:r w:rsidR="00244619" w:rsidRPr="00B46382">
        <w:rPr>
          <w:rFonts w:cs="Arial"/>
          <w:szCs w:val="24"/>
        </w:rPr>
        <w:t xml:space="preserve">and developmental </w:t>
      </w:r>
      <w:r w:rsidRPr="00B46382">
        <w:rPr>
          <w:rFonts w:cs="Arial"/>
          <w:szCs w:val="24"/>
        </w:rPr>
        <w:t xml:space="preserve">feedback with more guidance on how to improve. </w:t>
      </w:r>
      <w:r w:rsidRPr="00B46382">
        <w:rPr>
          <w:rFonts w:cs="Arial"/>
          <w:color w:val="000000"/>
          <w:szCs w:val="24"/>
          <w:shd w:val="clear" w:color="auto" w:fill="FFFFFF"/>
        </w:rPr>
        <w:t>There is widespread agreement that formative assessment and feedback should feature substantially within course design and delivery (</w:t>
      </w:r>
      <w:proofErr w:type="spellStart"/>
      <w:r w:rsidRPr="00B46382">
        <w:rPr>
          <w:rFonts w:cs="Arial"/>
          <w:color w:val="000000"/>
          <w:szCs w:val="24"/>
          <w:shd w:val="clear" w:color="auto" w:fill="FFFFFF"/>
        </w:rPr>
        <w:t>OfS</w:t>
      </w:r>
      <w:proofErr w:type="spellEnd"/>
      <w:r w:rsidRPr="00B46382">
        <w:rPr>
          <w:rFonts w:cs="Arial"/>
          <w:color w:val="000000"/>
          <w:szCs w:val="24"/>
          <w:shd w:val="clear" w:color="auto" w:fill="FFFFFF"/>
        </w:rPr>
        <w:t xml:space="preserve">, 2019). </w:t>
      </w:r>
      <w:r w:rsidRPr="00B46382">
        <w:rPr>
          <w:rFonts w:cs="Arial"/>
          <w:szCs w:val="24"/>
        </w:rPr>
        <w:t>BERA (2021) also states how formative assessment</w:t>
      </w:r>
      <w:r w:rsidRPr="00B46382">
        <w:rPr>
          <w:rFonts w:cs="Arial"/>
          <w:color w:val="000000"/>
          <w:szCs w:val="24"/>
          <w:shd w:val="clear" w:color="auto" w:fill="FFFFFF"/>
        </w:rPr>
        <w:t xml:space="preserve"> and feedback in HE is a valuable approach to supporting student performance and more evidence-informed approaches to teaching and learning is recommended.</w:t>
      </w:r>
      <w:r w:rsidR="001D6AF3" w:rsidRPr="00B46382">
        <w:rPr>
          <w:rFonts w:cs="Arial"/>
          <w:color w:val="000000"/>
          <w:szCs w:val="24"/>
          <w:shd w:val="clear" w:color="auto" w:fill="FFFFFF"/>
        </w:rPr>
        <w:t xml:space="preserve"> </w:t>
      </w:r>
      <w:r w:rsidR="00D870DD" w:rsidRPr="00B46382">
        <w:rPr>
          <w:rFonts w:cs="Arial"/>
          <w:color w:val="000000"/>
          <w:szCs w:val="24"/>
          <w:shd w:val="clear" w:color="auto" w:fill="FFFFFF"/>
        </w:rPr>
        <w:t xml:space="preserve">This activity also </w:t>
      </w:r>
      <w:r w:rsidR="00916D9B" w:rsidRPr="00B46382">
        <w:rPr>
          <w:rFonts w:cs="Arial"/>
          <w:color w:val="000000"/>
          <w:szCs w:val="24"/>
          <w:shd w:val="clear" w:color="auto" w:fill="FFFFFF"/>
        </w:rPr>
        <w:t xml:space="preserve">aligns </w:t>
      </w:r>
      <w:r w:rsidR="00624FB6" w:rsidRPr="00B46382">
        <w:rPr>
          <w:rStyle w:val="normaltextrun"/>
          <w:rFonts w:cs="Arial"/>
          <w:szCs w:val="24"/>
          <w:lang w:val="en-US"/>
        </w:rPr>
        <w:t>with our new Teaching Excellence Framework</w:t>
      </w:r>
      <w:r w:rsidR="002914D3" w:rsidRPr="00B46382">
        <w:rPr>
          <w:rStyle w:val="normaltextrun"/>
          <w:rFonts w:cs="Arial"/>
          <w:szCs w:val="24"/>
          <w:lang w:val="en-US"/>
        </w:rPr>
        <w:t xml:space="preserve">, with one of the </w:t>
      </w:r>
      <w:r w:rsidR="00624FB6" w:rsidRPr="00B46382">
        <w:rPr>
          <w:rStyle w:val="normaltextrun"/>
          <w:rFonts w:cs="Arial"/>
          <w:szCs w:val="24"/>
          <w:lang w:val="en-US"/>
        </w:rPr>
        <w:t xml:space="preserve">5 pillars of excellence </w:t>
      </w:r>
      <w:r w:rsidR="002914D3" w:rsidRPr="00B46382">
        <w:rPr>
          <w:rStyle w:val="normaltextrun"/>
          <w:rFonts w:cs="Arial"/>
          <w:szCs w:val="24"/>
          <w:lang w:val="en-US"/>
        </w:rPr>
        <w:t xml:space="preserve">being </w:t>
      </w:r>
      <w:r w:rsidR="00624FB6" w:rsidRPr="00B46382">
        <w:rPr>
          <w:rStyle w:val="normaltextrun"/>
          <w:rFonts w:cs="Arial"/>
          <w:szCs w:val="24"/>
          <w:lang w:val="en-US"/>
        </w:rPr>
        <w:t>assessment</w:t>
      </w:r>
      <w:r w:rsidR="00A44185" w:rsidRPr="00B46382">
        <w:rPr>
          <w:rStyle w:val="normaltextrun"/>
          <w:rFonts w:cs="Arial"/>
          <w:szCs w:val="24"/>
          <w:lang w:val="en-US"/>
        </w:rPr>
        <w:t>.</w:t>
      </w:r>
    </w:p>
    <w:p w14:paraId="4C786F49" w14:textId="7A713EA9" w:rsidR="00A44185" w:rsidRPr="00B46382" w:rsidRDefault="00A44185" w:rsidP="00C156E9">
      <w:pPr>
        <w:tabs>
          <w:tab w:val="left" w:pos="5320"/>
        </w:tabs>
        <w:rPr>
          <w:rFonts w:eastAsia="Times New Roman" w:cs="Arial"/>
          <w:color w:val="000000" w:themeColor="text1"/>
          <w:szCs w:val="24"/>
          <w:lang w:eastAsia="en-GB"/>
        </w:rPr>
      </w:pPr>
      <w:r w:rsidRPr="00B46382">
        <w:rPr>
          <w:rStyle w:val="normaltextrun"/>
          <w:rFonts w:cs="Arial"/>
          <w:szCs w:val="24"/>
          <w:lang w:val="en-US"/>
        </w:rPr>
        <w:t>Our planned bespoke Personal Development/GHWY act</w:t>
      </w:r>
      <w:r w:rsidRPr="00B46382">
        <w:rPr>
          <w:rStyle w:val="normaltextrun"/>
          <w:rFonts w:cs="Arial"/>
          <w:color w:val="000000" w:themeColor="text1"/>
          <w:szCs w:val="24"/>
          <w:lang w:val="en-US"/>
        </w:rPr>
        <w:t xml:space="preserve">ivity (IS1.6) aims </w:t>
      </w:r>
      <w:r w:rsidRPr="00B46382">
        <w:rPr>
          <w:rStyle w:val="normaltextrun"/>
          <w:rFonts w:cs="Arial"/>
          <w:szCs w:val="24"/>
          <w:lang w:val="en-US"/>
        </w:rPr>
        <w:t>to support all our students at all levels to develop the necessary skills to be successful in HE such</w:t>
      </w:r>
      <w:r w:rsidRPr="00B46382">
        <w:rPr>
          <w:rFonts w:eastAsia="Times New Roman" w:cs="Arial"/>
          <w:szCs w:val="24"/>
          <w:lang w:eastAsia="en-GB"/>
        </w:rPr>
        <w:t xml:space="preserve"> metacognition, problem solving and communication skills. This new activity involving a collaboration with our GHWY outreach officer and PDTs relies on a wealth of activity resources provided by our GHWY partners </w:t>
      </w:r>
      <w:hyperlink r:id="rId23" w:history="1">
        <w:r w:rsidRPr="00B46382">
          <w:rPr>
            <w:rStyle w:val="Hyperlink"/>
            <w:rFonts w:eastAsia="Times New Roman" w:cs="Arial"/>
            <w:szCs w:val="24"/>
            <w:lang w:eastAsia="en-GB"/>
          </w:rPr>
          <w:t>(GHWY, 2023, Teachers, Carers and Advisors Resources)</w:t>
        </w:r>
      </w:hyperlink>
      <w:r w:rsidRPr="00B46382">
        <w:rPr>
          <w:rFonts w:eastAsia="Times New Roman" w:cs="Arial"/>
          <w:szCs w:val="24"/>
          <w:lang w:eastAsia="en-GB"/>
        </w:rPr>
        <w:t xml:space="preserve"> that have shown validated results (</w:t>
      </w:r>
      <w:r w:rsidRPr="00B46382">
        <w:rPr>
          <w:rFonts w:eastAsia="Times New Roman" w:cs="Arial"/>
          <w:color w:val="000000" w:themeColor="text1"/>
          <w:szCs w:val="24"/>
          <w:lang w:eastAsia="en-GB"/>
        </w:rPr>
        <w:t xml:space="preserve">Education Endowment Foundation). </w:t>
      </w:r>
    </w:p>
    <w:p w14:paraId="65E70C66" w14:textId="77777777" w:rsidR="00C90BA1" w:rsidRPr="00B46382" w:rsidRDefault="00C90BA1" w:rsidP="00C90BA1">
      <w:pPr>
        <w:pStyle w:val="NormalWeb"/>
        <w:rPr>
          <w:rFonts w:ascii="Arial" w:hAnsi="Arial" w:cs="Arial"/>
        </w:rPr>
      </w:pPr>
      <w:r w:rsidRPr="00B46382">
        <w:rPr>
          <w:rFonts w:ascii="Arial" w:hAnsi="Arial" w:cs="Arial"/>
        </w:rPr>
        <w:t>There is significant evidence and research that suggests student bursaries can alleviate cost pressures, improve mental health, and support academic achievement in HE. The National Union of Students (NUS) indicate that financial pressures are a significant concern for students, impacting both their mental health and academic success. Bursaries and grants are highlighted as essential tools for reducing these pressures and improving student outcomes (</w:t>
      </w:r>
      <w:r w:rsidRPr="00B46382">
        <w:rPr>
          <w:rStyle w:val="Strong"/>
          <w:rFonts w:ascii="Arial" w:eastAsia="Arial" w:hAnsi="Arial" w:cs="Arial"/>
          <w:b w:val="0"/>
          <w:bCs w:val="0"/>
        </w:rPr>
        <w:t>National Union of Students, 2012).</w:t>
      </w:r>
      <w:r w:rsidRPr="00B46382">
        <w:rPr>
          <w:rStyle w:val="Strong"/>
          <w:rFonts w:ascii="Arial" w:eastAsia="Arial" w:hAnsi="Arial" w:cs="Arial"/>
        </w:rPr>
        <w:t xml:space="preserve"> </w:t>
      </w:r>
      <w:r w:rsidRPr="00B46382">
        <w:rPr>
          <w:rStyle w:val="Strong"/>
          <w:rFonts w:ascii="Arial" w:eastAsia="Arial" w:hAnsi="Arial" w:cs="Arial"/>
          <w:b w:val="0"/>
          <w:bCs w:val="0"/>
        </w:rPr>
        <w:t xml:space="preserve">As well, </w:t>
      </w:r>
      <w:r w:rsidRPr="00B46382">
        <w:rPr>
          <w:rFonts w:ascii="Arial" w:hAnsi="Arial" w:cs="Arial"/>
        </w:rPr>
        <w:t xml:space="preserve">the Higher Education Policy Institute (HEPI) has conducted research showing a positive correlation between financial support and student retention and success. They argue that bursaries can be particularly effective for students from low-income backgrounds, who might otherwise struggle to finance their education (Hillman, 2015). More recently </w:t>
      </w:r>
      <w:proofErr w:type="spellStart"/>
      <w:r w:rsidRPr="00B46382">
        <w:rPr>
          <w:rFonts w:ascii="Arial" w:hAnsi="Arial" w:cs="Arial"/>
        </w:rPr>
        <w:t>Moores</w:t>
      </w:r>
      <w:proofErr w:type="spellEnd"/>
      <w:r w:rsidRPr="00B46382">
        <w:rPr>
          <w:rFonts w:ascii="Arial" w:hAnsi="Arial" w:cs="Arial"/>
        </w:rPr>
        <w:t xml:space="preserve"> and Burgess (2022) investigated the impact of financial support, specifically bursaries, on the retention rates of students from lower-income households in the UK. They provide evidence that financial support can significantly improve retention, particularly for those students who might otherwise struggle to afford higher education. The findings underscore the importance of targeted financial aid in promoting equity and supporting academic success among economically disadvantaged students (See Annex D for our bursary investment).</w:t>
      </w:r>
    </w:p>
    <w:p w14:paraId="6BD392BF" w14:textId="77777777" w:rsidR="00C90BA1" w:rsidRPr="00B46382" w:rsidRDefault="00C90BA1" w:rsidP="00C90BA1">
      <w:pPr>
        <w:spacing w:after="120"/>
        <w:rPr>
          <w:rFonts w:cs="Arial"/>
          <w:color w:val="333333"/>
          <w:szCs w:val="24"/>
        </w:rPr>
      </w:pPr>
      <w:r w:rsidRPr="00B46382">
        <w:rPr>
          <w:rFonts w:cs="Arial"/>
          <w:szCs w:val="24"/>
        </w:rPr>
        <w:t xml:space="preserve">As stated in the indications of risk as defined within the EORR, cost pressures (risk 10) </w:t>
      </w:r>
      <w:r w:rsidRPr="00B46382">
        <w:rPr>
          <w:rStyle w:val="lead"/>
          <w:rFonts w:eastAsiaTheme="minorEastAsia" w:cs="Arial"/>
          <w:color w:val="333333"/>
          <w:szCs w:val="24"/>
        </w:rPr>
        <w:t>may affect a student’s ability to complete their course or obtain a good grade.</w:t>
      </w:r>
      <w:r w:rsidRPr="00B46382">
        <w:rPr>
          <w:rStyle w:val="lead"/>
          <w:rFonts w:cs="Arial"/>
          <w:color w:val="333333"/>
          <w:szCs w:val="24"/>
        </w:rPr>
        <w:t xml:space="preserve"> This may be attributed to several factors including </w:t>
      </w:r>
      <w:r w:rsidRPr="00B46382">
        <w:rPr>
          <w:rFonts w:cs="Arial"/>
          <w:color w:val="333333"/>
          <w:szCs w:val="24"/>
        </w:rPr>
        <w:t>some students undertaking more paid work than is feasible alongside full-time study, students having to support families. Therefore, if we can alleviate to some extent the cost pressure which we know from the EORR, nationally to more likely affect students from low household income, through bursary payment, then we believe this to impact positively on achievement of those from more deprived areas (IMD 1-2).</w:t>
      </w:r>
    </w:p>
    <w:p w14:paraId="2EB1A698" w14:textId="77777777" w:rsidR="00C90BA1" w:rsidRPr="00B46382" w:rsidRDefault="00C90BA1" w:rsidP="00C90BA1">
      <w:pPr>
        <w:rPr>
          <w:rFonts w:cs="Arial"/>
          <w:color w:val="000000" w:themeColor="text1"/>
          <w:szCs w:val="24"/>
        </w:rPr>
      </w:pPr>
      <w:r w:rsidRPr="00B46382">
        <w:rPr>
          <w:rFonts w:cs="Arial"/>
          <w:szCs w:val="24"/>
        </w:rPr>
        <w:t xml:space="preserve">KC offers a number of funds to support all students to fully engage with their studies. These include Progression, Local Student, STEM, Widening Access (i.e. Care </w:t>
      </w:r>
      <w:r w:rsidRPr="00B46382">
        <w:rPr>
          <w:rFonts w:cs="Arial"/>
          <w:szCs w:val="24"/>
        </w:rPr>
        <w:lastRenderedPageBreak/>
        <w:t xml:space="preserve">Leaver/Full-time Carer) bursaries and an Access to HE Diploma bursary offered to students who progress to our HE </w:t>
      </w:r>
      <w:proofErr w:type="gramStart"/>
      <w:r w:rsidRPr="00B46382">
        <w:rPr>
          <w:rFonts w:cs="Arial"/>
          <w:szCs w:val="24"/>
        </w:rPr>
        <w:t>provision</w:t>
      </w:r>
      <w:proofErr w:type="gramEnd"/>
      <w:r w:rsidRPr="00B46382">
        <w:rPr>
          <w:rFonts w:cs="Arial"/>
          <w:szCs w:val="24"/>
        </w:rPr>
        <w:t xml:space="preserve"> following successful completion of one of our Access to HE Level 3 diplomas. Bursary payments are subject to attendance threshold of 85% being met and timely assessment, so further supporting achievement. Full details may be found on our college webpage. </w:t>
      </w:r>
    </w:p>
    <w:p w14:paraId="7A942F01" w14:textId="18128DA1" w:rsidR="00A44185" w:rsidRDefault="00C90BA1" w:rsidP="00664EC5">
      <w:pPr>
        <w:pStyle w:val="NormalWeb"/>
        <w:spacing w:before="0" w:beforeAutospacing="0" w:after="300" w:afterAutospacing="0"/>
        <w:rPr>
          <w:rFonts w:ascii="Arial" w:hAnsi="Arial" w:cs="Arial"/>
          <w:color w:val="000000" w:themeColor="text1"/>
        </w:rPr>
      </w:pPr>
      <w:r w:rsidRPr="00B46382">
        <w:rPr>
          <w:rFonts w:ascii="Arial" w:hAnsi="Arial" w:cs="Arial"/>
        </w:rPr>
        <w:t xml:space="preserve">Similarly, the EORR identifies limited choice of course type and delivery mode as a barrier to HE. This may be attributed to people of low SES not having the flexibility to study full time. There has been much research documented around conflict between work and study. </w:t>
      </w:r>
      <w:proofErr w:type="spellStart"/>
      <w:r w:rsidRPr="00B46382">
        <w:rPr>
          <w:rFonts w:ascii="Arial" w:hAnsi="Arial" w:cs="Arial"/>
        </w:rPr>
        <w:t>Callender</w:t>
      </w:r>
      <w:proofErr w:type="spellEnd"/>
      <w:r w:rsidRPr="00B46382">
        <w:rPr>
          <w:rFonts w:ascii="Arial" w:hAnsi="Arial" w:cs="Arial"/>
        </w:rPr>
        <w:t xml:space="preserve"> (2008) found that students who work long hours are less likely to achieve high academic outcomes and are more likely to experience stress and exhaustion, having a detrimental impact on academic success. Another key factor may be the need for those of low SES to balance work and family commitments with education (</w:t>
      </w:r>
      <w:proofErr w:type="spellStart"/>
      <w:r w:rsidRPr="00B46382">
        <w:rPr>
          <w:rFonts w:ascii="Arial" w:hAnsi="Arial" w:cs="Arial"/>
        </w:rPr>
        <w:t>Perna</w:t>
      </w:r>
      <w:proofErr w:type="spellEnd"/>
      <w:r w:rsidRPr="00B46382">
        <w:rPr>
          <w:rFonts w:ascii="Arial" w:hAnsi="Arial" w:cs="Arial"/>
        </w:rPr>
        <w:t xml:space="preserve"> &amp; </w:t>
      </w:r>
      <w:proofErr w:type="spellStart"/>
      <w:r w:rsidRPr="00B46382">
        <w:rPr>
          <w:rFonts w:ascii="Arial" w:hAnsi="Arial" w:cs="Arial"/>
        </w:rPr>
        <w:t>Titua</w:t>
      </w:r>
      <w:proofErr w:type="spellEnd"/>
      <w:r w:rsidRPr="00B46382">
        <w:rPr>
          <w:rFonts w:ascii="Arial" w:hAnsi="Arial" w:cs="Arial"/>
        </w:rPr>
        <w:t xml:space="preserve">, 2005). We envisage that our growth plan (See Annex D) including the development </w:t>
      </w:r>
      <w:r w:rsidR="00A52AAB" w:rsidRPr="00B46382">
        <w:rPr>
          <w:rFonts w:ascii="Arial" w:hAnsi="Arial" w:cs="Arial"/>
        </w:rPr>
        <w:t xml:space="preserve">of </w:t>
      </w:r>
      <w:r w:rsidRPr="00B46382">
        <w:rPr>
          <w:rFonts w:ascii="Arial" w:hAnsi="Arial" w:cs="Arial"/>
        </w:rPr>
        <w:t xml:space="preserve">more HTQ programmes from 25/26 will create more flexible modular/part-time qualifications to support students of low SES. Cost pressures may also be alleviated with the advent of the LLE in </w:t>
      </w:r>
      <w:r w:rsidRPr="004D5E82">
        <w:rPr>
          <w:rFonts w:ascii="Arial" w:hAnsi="Arial" w:cs="Arial"/>
          <w:color w:val="000000" w:themeColor="text1"/>
        </w:rPr>
        <w:t>January 2026.</w:t>
      </w:r>
    </w:p>
    <w:p w14:paraId="3AF26F66" w14:textId="75386B90" w:rsidR="0055724C" w:rsidRDefault="0055724C" w:rsidP="0055724C">
      <w:pPr>
        <w:pStyle w:val="Heading3"/>
        <w:rPr>
          <w:b w:val="0"/>
        </w:rPr>
      </w:pPr>
      <w:r>
        <w:t xml:space="preserve">10.2 </w:t>
      </w:r>
      <w:r w:rsidR="004D5E82" w:rsidRPr="004D5E82">
        <w:rPr>
          <w:b w:val="0"/>
        </w:rPr>
        <w:t>Intervention Strategy 2</w:t>
      </w:r>
    </w:p>
    <w:p w14:paraId="1AD01369" w14:textId="3618EB5D" w:rsidR="004D5E82" w:rsidRPr="004D5E82" w:rsidRDefault="0055724C" w:rsidP="00664EC5">
      <w:pPr>
        <w:pStyle w:val="NormalWeb"/>
        <w:spacing w:before="0" w:beforeAutospacing="0" w:after="300" w:afterAutospacing="0"/>
        <w:rPr>
          <w:color w:val="000000" w:themeColor="text1"/>
        </w:rPr>
      </w:pPr>
      <w:r>
        <w:rPr>
          <w:rFonts w:ascii="Arial" w:hAnsi="Arial" w:cs="Arial"/>
          <w:color w:val="000000" w:themeColor="text1"/>
        </w:rPr>
        <w:t>To</w:t>
      </w:r>
      <w:r w:rsidR="004D5E82" w:rsidRPr="004D5E82">
        <w:rPr>
          <w:rFonts w:ascii="Arial" w:hAnsi="Arial" w:cs="Arial"/>
          <w:color w:val="000000" w:themeColor="text1"/>
        </w:rPr>
        <w:t xml:space="preserve"> reduce the achievement gap between young and mature students from 17.50% in 2022/23 to 2% in 2028/29</w:t>
      </w:r>
      <w:r w:rsidR="004D5E82" w:rsidRPr="00B46382">
        <w:rPr>
          <w:rFonts w:ascii="Arial" w:hAnsi="Arial" w:cs="Arial"/>
          <w:color w:val="000000" w:themeColor="text1"/>
        </w:rPr>
        <w:t>.</w:t>
      </w:r>
      <w:r w:rsidR="004D5E82">
        <w:rPr>
          <w:rFonts w:ascii="Arial" w:hAnsi="Arial" w:cs="Arial"/>
          <w:color w:val="000000" w:themeColor="text1"/>
        </w:rPr>
        <w:t xml:space="preserve"> (Target PTS_2)</w:t>
      </w:r>
    </w:p>
    <w:p w14:paraId="36261EC9" w14:textId="7313385F" w:rsidR="003B0098" w:rsidRPr="00B46382" w:rsidRDefault="003B0098" w:rsidP="009622B6">
      <w:pPr>
        <w:rPr>
          <w:rFonts w:cs="Arial"/>
          <w:szCs w:val="24"/>
        </w:rPr>
      </w:pPr>
      <w:r w:rsidRPr="00B46382">
        <w:rPr>
          <w:rFonts w:eastAsia="Times New Roman" w:cs="Arial"/>
          <w:color w:val="000000" w:themeColor="text1"/>
          <w:szCs w:val="24"/>
          <w:lang w:eastAsia="en-GB"/>
        </w:rPr>
        <w:t xml:space="preserve">Although our main targets address </w:t>
      </w:r>
      <w:r w:rsidR="000C07C8" w:rsidRPr="00B46382">
        <w:rPr>
          <w:rFonts w:eastAsia="Times New Roman" w:cs="Arial"/>
          <w:color w:val="000000" w:themeColor="text1"/>
          <w:szCs w:val="24"/>
          <w:lang w:eastAsia="en-GB"/>
        </w:rPr>
        <w:t>‘</w:t>
      </w:r>
      <w:r w:rsidR="005E046C" w:rsidRPr="00B46382">
        <w:rPr>
          <w:rFonts w:eastAsia="Times New Roman" w:cs="Arial"/>
          <w:color w:val="000000" w:themeColor="text1"/>
          <w:szCs w:val="24"/>
          <w:lang w:eastAsia="en-GB"/>
        </w:rPr>
        <w:t>success</w:t>
      </w:r>
      <w:r w:rsidR="000C07C8" w:rsidRPr="00B46382">
        <w:rPr>
          <w:rFonts w:eastAsia="Times New Roman" w:cs="Arial"/>
          <w:color w:val="000000" w:themeColor="text1"/>
          <w:szCs w:val="24"/>
          <w:lang w:eastAsia="en-GB"/>
        </w:rPr>
        <w:t>’</w:t>
      </w:r>
      <w:r w:rsidR="005E046C" w:rsidRPr="00B46382">
        <w:rPr>
          <w:rFonts w:eastAsia="Times New Roman" w:cs="Arial"/>
          <w:color w:val="000000" w:themeColor="text1"/>
          <w:szCs w:val="24"/>
          <w:lang w:eastAsia="en-GB"/>
        </w:rPr>
        <w:t>, we feel our outreach activity (IS2.1, 2.2, 2.3, 1.5)</w:t>
      </w:r>
      <w:r w:rsidR="009A3B93" w:rsidRPr="00B46382">
        <w:rPr>
          <w:rFonts w:eastAsia="Times New Roman" w:cs="Arial"/>
          <w:color w:val="000000" w:themeColor="text1"/>
          <w:szCs w:val="24"/>
          <w:lang w:eastAsia="en-GB"/>
        </w:rPr>
        <w:t xml:space="preserve"> also contributes to the ‘access’ component of the lifecycle</w:t>
      </w:r>
      <w:r w:rsidR="000C07C8" w:rsidRPr="00B46382">
        <w:rPr>
          <w:rFonts w:eastAsia="Times New Roman" w:cs="Arial"/>
          <w:color w:val="000000" w:themeColor="text1"/>
          <w:szCs w:val="24"/>
          <w:lang w:eastAsia="en-GB"/>
        </w:rPr>
        <w:t>.</w:t>
      </w:r>
      <w:r w:rsidR="009622B6" w:rsidRPr="00B46382">
        <w:rPr>
          <w:rFonts w:eastAsia="Times New Roman" w:cs="Arial"/>
          <w:color w:val="000000" w:themeColor="text1"/>
          <w:szCs w:val="24"/>
          <w:lang w:eastAsia="en-GB"/>
        </w:rPr>
        <w:t xml:space="preserve"> </w:t>
      </w:r>
      <w:r w:rsidR="009622B6" w:rsidRPr="00B46382">
        <w:rPr>
          <w:rFonts w:cs="Arial"/>
          <w:szCs w:val="24"/>
        </w:rPr>
        <w:t>Hosting secondary aged children (Year 10) visits at FE colleges, where early exposure to these educational environments can significantly influence students' aspirations towards both Further and H</w:t>
      </w:r>
      <w:r w:rsidR="00C170A3" w:rsidRPr="00B46382">
        <w:rPr>
          <w:rFonts w:cs="Arial"/>
          <w:szCs w:val="24"/>
        </w:rPr>
        <w:t xml:space="preserve">igher </w:t>
      </w:r>
      <w:r w:rsidR="009622B6" w:rsidRPr="00B46382">
        <w:rPr>
          <w:rFonts w:cs="Arial"/>
          <w:szCs w:val="24"/>
        </w:rPr>
        <w:t>E</w:t>
      </w:r>
      <w:r w:rsidR="00C170A3" w:rsidRPr="00B46382">
        <w:rPr>
          <w:rFonts w:cs="Arial"/>
          <w:szCs w:val="24"/>
        </w:rPr>
        <w:t>ducation</w:t>
      </w:r>
      <w:r w:rsidR="009622B6" w:rsidRPr="00B46382">
        <w:rPr>
          <w:rFonts w:cs="Arial"/>
          <w:szCs w:val="24"/>
        </w:rPr>
        <w:t xml:space="preserve"> (Harrison and Waller, 2017; Crawford and Greaves, 2015). These visits help demystify the transition to post-16 education, offering students a clearer view of future opportunities and fostering a positive outlook on continuing their education. By engaging with the FE college setting and interacting with current students and staff, Year 10 students, particularly those from underrepresented backgrounds, can build confidence, challenge stereotypes, and develop a greater awareness of how FE can serve as a stepping stone to HE. This early exposure supports informed decision-making and can inspire students to aim higher, making HE a more attainable and desirable goal, and provides a clear evidence-based rationale for our intervention strategies (IS2.1, 2.2).</w:t>
      </w:r>
    </w:p>
    <w:p w14:paraId="432D0D50" w14:textId="699D0B9B" w:rsidR="00290B0E" w:rsidRPr="00B46382" w:rsidRDefault="0026364D" w:rsidP="00076A07">
      <w:pPr>
        <w:tabs>
          <w:tab w:val="left" w:pos="5320"/>
        </w:tabs>
        <w:rPr>
          <w:rFonts w:eastAsia="Times New Roman" w:cs="Arial"/>
          <w:color w:val="FF0000"/>
          <w:szCs w:val="24"/>
          <w:lang w:eastAsia="en-GB"/>
        </w:rPr>
      </w:pPr>
      <w:r w:rsidRPr="00B46382">
        <w:rPr>
          <w:rFonts w:eastAsia="Times New Roman" w:cs="Arial"/>
          <w:szCs w:val="24"/>
          <w:lang w:eastAsia="en-GB"/>
        </w:rPr>
        <w:t xml:space="preserve">A significant part of </w:t>
      </w:r>
      <w:r w:rsidR="000C07C8" w:rsidRPr="00B46382">
        <w:rPr>
          <w:rFonts w:eastAsia="Times New Roman" w:cs="Arial"/>
          <w:szCs w:val="24"/>
          <w:lang w:eastAsia="en-GB"/>
        </w:rPr>
        <w:t>our</w:t>
      </w:r>
      <w:r w:rsidRPr="00B46382">
        <w:rPr>
          <w:rFonts w:eastAsia="Times New Roman" w:cs="Arial"/>
          <w:szCs w:val="24"/>
          <w:lang w:eastAsia="en-GB"/>
        </w:rPr>
        <w:t xml:space="preserve"> Outreach </w:t>
      </w:r>
      <w:r w:rsidR="00136E7D" w:rsidRPr="00B46382">
        <w:rPr>
          <w:rFonts w:eastAsia="Times New Roman" w:cs="Arial"/>
          <w:szCs w:val="24"/>
          <w:lang w:eastAsia="en-GB"/>
        </w:rPr>
        <w:t>O</w:t>
      </w:r>
      <w:r w:rsidRPr="00B46382">
        <w:rPr>
          <w:rFonts w:eastAsia="Times New Roman" w:cs="Arial"/>
          <w:szCs w:val="24"/>
          <w:lang w:eastAsia="en-GB"/>
        </w:rPr>
        <w:t xml:space="preserve">fficer role </w:t>
      </w:r>
      <w:r w:rsidR="00661F5A" w:rsidRPr="00B46382">
        <w:rPr>
          <w:rFonts w:eastAsia="Times New Roman" w:cs="Arial"/>
          <w:szCs w:val="24"/>
          <w:lang w:eastAsia="en-GB"/>
        </w:rPr>
        <w:t>i</w:t>
      </w:r>
      <w:r w:rsidR="008E4A73" w:rsidRPr="00B46382">
        <w:rPr>
          <w:rFonts w:eastAsia="Times New Roman" w:cs="Arial"/>
          <w:szCs w:val="24"/>
          <w:lang w:eastAsia="en-GB"/>
        </w:rPr>
        <w:t>s in supporting the Pre-16 Attainment Raising Prog</w:t>
      </w:r>
      <w:r w:rsidR="00661F5A" w:rsidRPr="00B46382">
        <w:rPr>
          <w:rFonts w:eastAsia="Times New Roman" w:cs="Arial"/>
          <w:szCs w:val="24"/>
          <w:lang w:eastAsia="en-GB"/>
        </w:rPr>
        <w:t>r</w:t>
      </w:r>
      <w:r w:rsidR="008E4A73" w:rsidRPr="00B46382">
        <w:rPr>
          <w:rFonts w:eastAsia="Times New Roman" w:cs="Arial"/>
          <w:szCs w:val="24"/>
          <w:lang w:eastAsia="en-GB"/>
        </w:rPr>
        <w:t>amme</w:t>
      </w:r>
      <w:r w:rsidR="00076A07" w:rsidRPr="00B46382">
        <w:rPr>
          <w:rFonts w:eastAsia="Times New Roman" w:cs="Arial"/>
          <w:szCs w:val="24"/>
          <w:lang w:eastAsia="en-GB"/>
        </w:rPr>
        <w:t xml:space="preserve"> </w:t>
      </w:r>
      <w:r w:rsidR="00FE79C7" w:rsidRPr="00B46382">
        <w:rPr>
          <w:rFonts w:eastAsia="Times New Roman" w:cs="Arial"/>
          <w:szCs w:val="24"/>
          <w:lang w:eastAsia="en-GB"/>
        </w:rPr>
        <w:t xml:space="preserve">presently </w:t>
      </w:r>
      <w:r w:rsidR="00076A07" w:rsidRPr="00B46382">
        <w:rPr>
          <w:rFonts w:eastAsia="Times New Roman" w:cs="Arial"/>
          <w:szCs w:val="24"/>
          <w:lang w:eastAsia="en-GB"/>
        </w:rPr>
        <w:t xml:space="preserve">funded until Sep 25 by GHWY. </w:t>
      </w:r>
      <w:r w:rsidR="00290B0E" w:rsidRPr="00B46382">
        <w:rPr>
          <w:rFonts w:cs="Arial"/>
          <w:szCs w:val="24"/>
        </w:rPr>
        <w:t>Much of the activity that facilitate</w:t>
      </w:r>
      <w:r w:rsidR="00982384" w:rsidRPr="00B46382">
        <w:rPr>
          <w:rFonts w:cs="Arial"/>
          <w:szCs w:val="24"/>
        </w:rPr>
        <w:t xml:space="preserve">s </w:t>
      </w:r>
      <w:r w:rsidR="00076A07" w:rsidRPr="00B46382">
        <w:rPr>
          <w:rFonts w:cs="Arial"/>
          <w:szCs w:val="24"/>
        </w:rPr>
        <w:t xml:space="preserve">this is </w:t>
      </w:r>
      <w:r w:rsidR="00EF297E" w:rsidRPr="00B46382">
        <w:rPr>
          <w:rFonts w:cs="Arial"/>
          <w:szCs w:val="24"/>
        </w:rPr>
        <w:t>p</w:t>
      </w:r>
      <w:r w:rsidR="00076A07" w:rsidRPr="00B46382">
        <w:rPr>
          <w:rFonts w:cs="Arial"/>
          <w:szCs w:val="24"/>
        </w:rPr>
        <w:t>re-</w:t>
      </w:r>
      <w:r w:rsidR="00EF297E" w:rsidRPr="00B46382">
        <w:rPr>
          <w:rFonts w:cs="Arial"/>
          <w:szCs w:val="24"/>
        </w:rPr>
        <w:t>a</w:t>
      </w:r>
      <w:r w:rsidR="00076A07" w:rsidRPr="00B46382">
        <w:rPr>
          <w:rFonts w:cs="Arial"/>
          <w:szCs w:val="24"/>
        </w:rPr>
        <w:t xml:space="preserve">ttainment work </w:t>
      </w:r>
      <w:r w:rsidR="00290B0E" w:rsidRPr="00B46382">
        <w:rPr>
          <w:rFonts w:cs="Arial"/>
          <w:szCs w:val="24"/>
        </w:rPr>
        <w:t xml:space="preserve">is an existing collaboration or takes inspiration from the Go Higher West Yorkshire Uni Connect programme delivered in West Yorkshire. It is </w:t>
      </w:r>
      <w:r w:rsidR="00FE79C7" w:rsidRPr="00B46382">
        <w:rPr>
          <w:rFonts w:cs="Arial"/>
          <w:szCs w:val="24"/>
        </w:rPr>
        <w:t xml:space="preserve">part of </w:t>
      </w:r>
      <w:r w:rsidR="00290B0E" w:rsidRPr="00B46382">
        <w:rPr>
          <w:rFonts w:cs="Arial"/>
          <w:szCs w:val="24"/>
        </w:rPr>
        <w:t xml:space="preserve">our strategy to work in partnership in our local area via GHWY to undertake access and participation work. GHWY is a formal consortium of diverse HE providers which we fund to enable collaboration on reducing inequalities in access to and success in higher education, for individuals who experience inequality of opportunity. GHWY’s theory of change is that if people, particularly those who experience inequality of opportunity, can get access to information about </w:t>
      </w:r>
      <w:r w:rsidR="00290B0E" w:rsidRPr="00B46382">
        <w:rPr>
          <w:rFonts w:cs="Arial"/>
          <w:szCs w:val="24"/>
        </w:rPr>
        <w:lastRenderedPageBreak/>
        <w:t>the whole range of higher education options available to them, it will support them to enrol and succeed in higher education.</w:t>
      </w:r>
    </w:p>
    <w:p w14:paraId="3264961F" w14:textId="0940863E" w:rsidR="00290B0E" w:rsidRPr="00B46382" w:rsidRDefault="00290B0E" w:rsidP="00290B0E">
      <w:pPr>
        <w:rPr>
          <w:rFonts w:cs="Arial"/>
          <w:szCs w:val="24"/>
        </w:rPr>
      </w:pPr>
      <w:r w:rsidRPr="00B46382">
        <w:rPr>
          <w:rFonts w:cs="Arial"/>
          <w:szCs w:val="24"/>
        </w:rPr>
        <w:t xml:space="preserve">GHWY undertake a variety of methods in order to capture and evaluate the impact of the activities they deliver. </w:t>
      </w:r>
      <w:r w:rsidR="00562654" w:rsidRPr="00B46382">
        <w:rPr>
          <w:rFonts w:cs="Arial"/>
          <w:szCs w:val="24"/>
        </w:rPr>
        <w:t>Proven</w:t>
      </w:r>
      <w:r w:rsidRPr="00B46382">
        <w:rPr>
          <w:rFonts w:cs="Arial"/>
          <w:szCs w:val="24"/>
        </w:rPr>
        <w:t xml:space="preserve"> </w:t>
      </w:r>
      <w:r w:rsidR="00682563" w:rsidRPr="00B46382">
        <w:rPr>
          <w:rFonts w:cs="Arial"/>
          <w:szCs w:val="24"/>
        </w:rPr>
        <w:t xml:space="preserve">impact </w:t>
      </w:r>
      <w:r w:rsidRPr="00B46382">
        <w:rPr>
          <w:rFonts w:cs="Arial"/>
          <w:szCs w:val="24"/>
        </w:rPr>
        <w:t xml:space="preserve">from the GHWY Think and Go Higher Attainment Raising programme </w:t>
      </w:r>
      <w:r w:rsidR="00682563" w:rsidRPr="00B46382">
        <w:rPr>
          <w:rFonts w:cs="Arial"/>
          <w:szCs w:val="24"/>
        </w:rPr>
        <w:t xml:space="preserve">are </w:t>
      </w:r>
      <w:r w:rsidRPr="00B46382">
        <w:rPr>
          <w:rFonts w:cs="Arial"/>
          <w:szCs w:val="24"/>
        </w:rPr>
        <w:t xml:space="preserve">detailed below: </w:t>
      </w:r>
    </w:p>
    <w:p w14:paraId="57DFF7DB" w14:textId="77777777" w:rsidR="00290B0E" w:rsidRPr="00B46382" w:rsidRDefault="00290B0E" w:rsidP="00290B0E">
      <w:pPr>
        <w:pStyle w:val="ListParagraph"/>
        <w:numPr>
          <w:ilvl w:val="0"/>
          <w:numId w:val="24"/>
        </w:numPr>
        <w:spacing w:after="160" w:line="259" w:lineRule="auto"/>
        <w:rPr>
          <w:rFonts w:cs="Arial"/>
        </w:rPr>
      </w:pPr>
      <w:r w:rsidRPr="00B46382">
        <w:rPr>
          <w:rFonts w:cs="Arial"/>
        </w:rPr>
        <w:t>Learners identified improvements to their skills in organising and linking information</w:t>
      </w:r>
    </w:p>
    <w:p w14:paraId="4634692B" w14:textId="77777777" w:rsidR="00290B0E" w:rsidRPr="00B46382" w:rsidRDefault="00290B0E" w:rsidP="00290B0E">
      <w:pPr>
        <w:pStyle w:val="ListParagraph"/>
        <w:rPr>
          <w:rFonts w:cs="Arial"/>
        </w:rPr>
      </w:pPr>
    </w:p>
    <w:p w14:paraId="63B383F1" w14:textId="77777777" w:rsidR="00290B0E" w:rsidRPr="00B46382" w:rsidRDefault="00290B0E" w:rsidP="00290B0E">
      <w:pPr>
        <w:pStyle w:val="ListParagraph"/>
        <w:numPr>
          <w:ilvl w:val="0"/>
          <w:numId w:val="24"/>
        </w:numPr>
        <w:rPr>
          <w:rFonts w:cs="Arial"/>
        </w:rPr>
      </w:pPr>
      <w:r w:rsidRPr="00B46382">
        <w:rPr>
          <w:rFonts w:cs="Arial"/>
        </w:rPr>
        <w:t>Learners identified the value of debating skills in and outside of school, making connections between oral debating skills and developing analytical thinking in written work.</w:t>
      </w:r>
    </w:p>
    <w:p w14:paraId="78D98EE9" w14:textId="77777777" w:rsidR="00290B0E" w:rsidRPr="00B46382" w:rsidRDefault="00290B0E" w:rsidP="00290B0E">
      <w:pPr>
        <w:spacing w:after="0" w:line="240" w:lineRule="auto"/>
        <w:rPr>
          <w:rFonts w:cs="Arial"/>
          <w:szCs w:val="24"/>
        </w:rPr>
      </w:pPr>
    </w:p>
    <w:p w14:paraId="6C54B50C" w14:textId="77FE1727" w:rsidR="00E84403" w:rsidRPr="00B46382" w:rsidRDefault="00290B0E" w:rsidP="00A25D41">
      <w:pPr>
        <w:pStyle w:val="ListParagraph"/>
        <w:numPr>
          <w:ilvl w:val="0"/>
          <w:numId w:val="24"/>
        </w:numPr>
        <w:rPr>
          <w:rFonts w:cs="Arial"/>
        </w:rPr>
      </w:pPr>
      <w:r w:rsidRPr="00B46382">
        <w:rPr>
          <w:rFonts w:cs="Arial"/>
        </w:rPr>
        <w:t>Learners self-reported an improvement in their grades and revision skills, highlighting that collaborating with other pupils outside of the typical classroom environment enhanced their communication skills.</w:t>
      </w:r>
    </w:p>
    <w:p w14:paraId="34D4A5F2" w14:textId="77777777" w:rsidR="00A25D41" w:rsidRPr="00B46382" w:rsidRDefault="00A25D41" w:rsidP="00A25D41">
      <w:pPr>
        <w:rPr>
          <w:rFonts w:cs="Arial"/>
          <w:szCs w:val="24"/>
        </w:rPr>
      </w:pPr>
    </w:p>
    <w:p w14:paraId="32EACBEF" w14:textId="12ECBE0E" w:rsidR="008A78D9" w:rsidRDefault="00290B0E" w:rsidP="008A78D9">
      <w:pPr>
        <w:rPr>
          <w:rFonts w:cs="Arial"/>
          <w:szCs w:val="24"/>
        </w:rPr>
      </w:pPr>
      <w:r w:rsidRPr="00B46382">
        <w:rPr>
          <w:rFonts w:cs="Arial"/>
          <w:szCs w:val="24"/>
        </w:rPr>
        <w:t xml:space="preserve">Key influences for the activity that GHWY deliver comes from a variety of places. The local labour market information from organisations such as the West Yorkshire Combined Authority (WYCA) and detail from Progression Officers in schools </w:t>
      </w:r>
      <w:r w:rsidRPr="00B46382">
        <w:rPr>
          <w:rFonts w:cs="Arial"/>
          <w:color w:val="000000" w:themeColor="text1"/>
          <w:szCs w:val="24"/>
        </w:rPr>
        <w:t xml:space="preserve">provides influence for the Go Higher in Days whilst other influences on GHWY outcome framework </w:t>
      </w:r>
      <w:r w:rsidR="00C413CE" w:rsidRPr="00B46382">
        <w:rPr>
          <w:rFonts w:cs="Arial"/>
          <w:color w:val="000000" w:themeColor="text1"/>
          <w:szCs w:val="24"/>
        </w:rPr>
        <w:t>(</w:t>
      </w:r>
      <w:r w:rsidRPr="00B46382">
        <w:rPr>
          <w:rFonts w:cs="Arial"/>
          <w:color w:val="000000" w:themeColor="text1"/>
          <w:szCs w:val="24"/>
        </w:rPr>
        <w:t>figure 1</w:t>
      </w:r>
      <w:r w:rsidR="00C413CE" w:rsidRPr="00B46382">
        <w:rPr>
          <w:rFonts w:cs="Arial"/>
          <w:color w:val="000000" w:themeColor="text1"/>
          <w:szCs w:val="24"/>
        </w:rPr>
        <w:t>)</w:t>
      </w:r>
      <w:r w:rsidRPr="00B46382">
        <w:rPr>
          <w:rFonts w:cs="Arial"/>
          <w:color w:val="000000" w:themeColor="text1"/>
          <w:szCs w:val="24"/>
        </w:rPr>
        <w:t xml:space="preserve">. These </w:t>
      </w:r>
      <w:r w:rsidRPr="00B46382">
        <w:rPr>
          <w:rFonts w:cs="Arial"/>
          <w:szCs w:val="24"/>
        </w:rPr>
        <w:t>influences and evidence</w:t>
      </w:r>
      <w:r w:rsidR="001F4C29" w:rsidRPr="00B46382">
        <w:rPr>
          <w:rFonts w:cs="Arial"/>
          <w:szCs w:val="24"/>
        </w:rPr>
        <w:t>-</w:t>
      </w:r>
      <w:r w:rsidRPr="00B46382">
        <w:rPr>
          <w:rFonts w:cs="Arial"/>
          <w:szCs w:val="24"/>
        </w:rPr>
        <w:t>based evaluation findings result in the GHWY Outcomes Framework</w:t>
      </w:r>
      <w:r w:rsidR="00C413CE" w:rsidRPr="00B46382">
        <w:rPr>
          <w:rFonts w:cs="Arial"/>
          <w:szCs w:val="24"/>
        </w:rPr>
        <w:t xml:space="preserve"> (</w:t>
      </w:r>
      <w:r w:rsidRPr="00B46382">
        <w:rPr>
          <w:rFonts w:cs="Arial"/>
          <w:szCs w:val="24"/>
        </w:rPr>
        <w:t>figure 2</w:t>
      </w:r>
      <w:r w:rsidR="00C413CE" w:rsidRPr="00B46382">
        <w:rPr>
          <w:rFonts w:cs="Arial"/>
          <w:szCs w:val="24"/>
        </w:rPr>
        <w:t>)</w:t>
      </w:r>
      <w:r w:rsidRPr="00B46382">
        <w:rPr>
          <w:rFonts w:cs="Arial"/>
          <w:szCs w:val="24"/>
        </w:rPr>
        <w:t xml:space="preserve">. This framework details the programme outcomes that GHWY aim to achieve through the delivery of their various programmes, resources and collaborations with local providers. </w:t>
      </w:r>
    </w:p>
    <w:p w14:paraId="7EECA547" w14:textId="3DD1A40A" w:rsidR="004D5E82" w:rsidRDefault="0055724C" w:rsidP="0055724C">
      <w:pPr>
        <w:pStyle w:val="Heading3"/>
      </w:pPr>
      <w:r>
        <w:t xml:space="preserve">10.3 </w:t>
      </w:r>
      <w:r w:rsidR="004D5E82">
        <w:t>Core Evidence Underpinning the Outcomes Framework</w:t>
      </w:r>
    </w:p>
    <w:p w14:paraId="03920A19" w14:textId="522621EC" w:rsidR="004D5E82" w:rsidRDefault="0055724C" w:rsidP="0055724C">
      <w:pPr>
        <w:pStyle w:val="Heading4"/>
      </w:pPr>
      <w:r>
        <w:t xml:space="preserve">10.3.1 </w:t>
      </w:r>
      <w:r w:rsidR="004D5E82">
        <w:t xml:space="preserve">‘Possible Selves’ Theory </w:t>
      </w:r>
    </w:p>
    <w:p w14:paraId="5B0B105E" w14:textId="0B33094D" w:rsidR="004D5E82" w:rsidRDefault="004D5E82" w:rsidP="008A78D9">
      <w:pPr>
        <w:rPr>
          <w:rFonts w:cs="Arial"/>
          <w:szCs w:val="24"/>
        </w:rPr>
      </w:pPr>
      <w:r>
        <w:rPr>
          <w:rFonts w:cs="Arial"/>
          <w:szCs w:val="24"/>
        </w:rPr>
        <w:t xml:space="preserve">Originally conceptualised by Markus and </w:t>
      </w:r>
      <w:proofErr w:type="spellStart"/>
      <w:r>
        <w:rPr>
          <w:rFonts w:cs="Arial"/>
          <w:szCs w:val="24"/>
        </w:rPr>
        <w:t>Nurius</w:t>
      </w:r>
      <w:proofErr w:type="spellEnd"/>
      <w:r>
        <w:rPr>
          <w:rFonts w:cs="Arial"/>
          <w:szCs w:val="24"/>
        </w:rPr>
        <w:t xml:space="preserve">, the theory that individuals envisage a range of possible self-identities has been developed by Harrison who has articulated how young people’s formulations of self-identity impact on decision-making about their future and the importance of supporting this process. </w:t>
      </w:r>
    </w:p>
    <w:p w14:paraId="269755A9" w14:textId="6DDB711D" w:rsidR="004D5E82" w:rsidRDefault="0055724C" w:rsidP="0055724C">
      <w:pPr>
        <w:pStyle w:val="Heading4"/>
      </w:pPr>
      <w:r>
        <w:t xml:space="preserve">10.3.2 </w:t>
      </w:r>
      <w:r w:rsidR="004D5E82">
        <w:t>Cultural Capital Theory</w:t>
      </w:r>
    </w:p>
    <w:p w14:paraId="2F3DA774" w14:textId="3E8DEE43" w:rsidR="004D5E82" w:rsidRDefault="004D5E82" w:rsidP="008A78D9">
      <w:pPr>
        <w:rPr>
          <w:rFonts w:cs="Arial"/>
          <w:szCs w:val="24"/>
        </w:rPr>
      </w:pPr>
      <w:r>
        <w:rPr>
          <w:rFonts w:cs="Arial"/>
          <w:szCs w:val="24"/>
        </w:rPr>
        <w:t xml:space="preserve">Bourdieu’s classic theory outlining the power differentials between different social groups has been applied to the HE context by the NERUPI Network, emphasising the importance of ‘habitus’ and cultural capital in young people’s decision making about their future. </w:t>
      </w:r>
    </w:p>
    <w:p w14:paraId="76FF9813" w14:textId="5448A90F" w:rsidR="004D5E82" w:rsidRDefault="0055724C" w:rsidP="0055724C">
      <w:pPr>
        <w:pStyle w:val="Heading4"/>
      </w:pPr>
      <w:r>
        <w:t>10.3.</w:t>
      </w:r>
      <w:r w:rsidR="006A6E64">
        <w:t>3</w:t>
      </w:r>
      <w:bookmarkStart w:id="1" w:name="_GoBack"/>
      <w:bookmarkEnd w:id="1"/>
      <w:r>
        <w:t xml:space="preserve"> </w:t>
      </w:r>
      <w:r w:rsidR="004D5E82">
        <w:t>Impact of Metacognitive Strategies on Attainment</w:t>
      </w:r>
    </w:p>
    <w:p w14:paraId="28DD3070" w14:textId="6426063B" w:rsidR="004D5E82" w:rsidRPr="00B46382" w:rsidRDefault="004D5E82" w:rsidP="008A78D9">
      <w:pPr>
        <w:rPr>
          <w:rFonts w:cs="Arial"/>
          <w:szCs w:val="24"/>
        </w:rPr>
      </w:pPr>
      <w:r>
        <w:rPr>
          <w:rFonts w:cs="Arial"/>
          <w:szCs w:val="24"/>
        </w:rPr>
        <w:t xml:space="preserve">The Education Endowment Foundation has evaluated many metacognition interventions and found them to be a high-impact, low-cost approach to improving the attainment of disadvantaged learners. They estimate the equivalent of 7+ months of academic progress as a result of developing metacognitive skills. </w:t>
      </w:r>
    </w:p>
    <w:p w14:paraId="0AEFE4EE" w14:textId="77777777" w:rsidR="007630C8" w:rsidRPr="00B46382" w:rsidRDefault="007630C8" w:rsidP="007630C8">
      <w:pPr>
        <w:rPr>
          <w:rFonts w:cs="Arial"/>
          <w:szCs w:val="24"/>
        </w:rPr>
      </w:pPr>
    </w:p>
    <w:p w14:paraId="751C6E6E" w14:textId="77777777" w:rsidR="007630C8" w:rsidRPr="00B46382" w:rsidRDefault="007630C8" w:rsidP="007630C8">
      <w:pPr>
        <w:rPr>
          <w:rFonts w:cs="Arial"/>
          <w:szCs w:val="24"/>
        </w:rPr>
      </w:pPr>
    </w:p>
    <w:p w14:paraId="6B5805A5" w14:textId="31C31230" w:rsidR="00D27BDD" w:rsidRPr="00B46382" w:rsidRDefault="0055724C" w:rsidP="0055724C">
      <w:pPr>
        <w:pStyle w:val="Heading2"/>
        <w:rPr>
          <w:color w:val="FF0000"/>
        </w:rPr>
      </w:pPr>
      <w:r>
        <w:lastRenderedPageBreak/>
        <w:t xml:space="preserve">11. </w:t>
      </w:r>
      <w:r w:rsidR="007630C8" w:rsidRPr="00B46382">
        <w:t xml:space="preserve">Figure: 1 </w:t>
      </w:r>
      <w:r w:rsidR="00D6199D" w:rsidRPr="00B46382">
        <w:t>Core evidence underpinning the</w:t>
      </w:r>
      <w:r w:rsidR="00A13047" w:rsidRPr="00B46382">
        <w:t xml:space="preserve"> GHWY O</w:t>
      </w:r>
      <w:r w:rsidR="00D6199D" w:rsidRPr="00B46382">
        <w:t xml:space="preserve">utcomes </w:t>
      </w:r>
      <w:r w:rsidR="00A13047" w:rsidRPr="00B46382">
        <w:t>F</w:t>
      </w:r>
      <w:r w:rsidR="00D6199D" w:rsidRPr="00B46382">
        <w:t>ramework</w:t>
      </w:r>
    </w:p>
    <w:p w14:paraId="531AD9C0" w14:textId="31CFC3DB" w:rsidR="00D27BDD" w:rsidRPr="00B46382" w:rsidRDefault="00ED346C" w:rsidP="00290B0E">
      <w:pPr>
        <w:rPr>
          <w:rFonts w:cs="Arial"/>
          <w:szCs w:val="24"/>
        </w:rPr>
      </w:pPr>
      <w:r w:rsidRPr="00B46382">
        <w:rPr>
          <w:rFonts w:cs="Arial"/>
          <w:szCs w:val="24"/>
        </w:rPr>
        <w:t xml:space="preserve">GHWY activity inspires our own </w:t>
      </w:r>
      <w:r w:rsidR="001A239B" w:rsidRPr="00B46382">
        <w:rPr>
          <w:rFonts w:cs="Arial"/>
          <w:szCs w:val="24"/>
        </w:rPr>
        <w:t>internal activity (IS1.6</w:t>
      </w:r>
      <w:r w:rsidR="00E87FCC" w:rsidRPr="00B46382">
        <w:rPr>
          <w:rFonts w:cs="Arial"/>
          <w:szCs w:val="24"/>
        </w:rPr>
        <w:t xml:space="preserve"> Personal Development Tutor/GHWY collaboration</w:t>
      </w:r>
      <w:r w:rsidR="001A239B" w:rsidRPr="00B46382">
        <w:rPr>
          <w:rFonts w:cs="Arial"/>
          <w:szCs w:val="24"/>
        </w:rPr>
        <w:t>)</w:t>
      </w:r>
      <w:r w:rsidR="002A7486" w:rsidRPr="00B46382">
        <w:rPr>
          <w:rFonts w:cs="Arial"/>
          <w:szCs w:val="24"/>
        </w:rPr>
        <w:t>.</w:t>
      </w:r>
      <w:r w:rsidR="001A239B" w:rsidRPr="00B46382">
        <w:rPr>
          <w:rFonts w:cs="Arial"/>
          <w:szCs w:val="24"/>
        </w:rPr>
        <w:t xml:space="preserve"> </w:t>
      </w:r>
      <w:r w:rsidR="00D27BDD" w:rsidRPr="00B46382">
        <w:rPr>
          <w:rFonts w:cs="Arial"/>
          <w:szCs w:val="24"/>
        </w:rPr>
        <w:t>Each component of the above framework can be linked to the EORR as shown below:</w:t>
      </w:r>
    </w:p>
    <w:tbl>
      <w:tblPr>
        <w:tblStyle w:val="TableGrid"/>
        <w:tblW w:w="0" w:type="auto"/>
        <w:tblLook w:val="04A0" w:firstRow="1" w:lastRow="0" w:firstColumn="1" w:lastColumn="0" w:noHBand="0" w:noVBand="1"/>
      </w:tblPr>
      <w:tblGrid>
        <w:gridCol w:w="4531"/>
        <w:gridCol w:w="4253"/>
      </w:tblGrid>
      <w:tr w:rsidR="00A40492" w:rsidRPr="00B46382" w14:paraId="54F763D7" w14:textId="77777777" w:rsidTr="00A40492">
        <w:tc>
          <w:tcPr>
            <w:tcW w:w="4531" w:type="dxa"/>
            <w:vAlign w:val="center"/>
          </w:tcPr>
          <w:p w14:paraId="48206C32" w14:textId="77777777" w:rsidR="00A40492" w:rsidRPr="00B46382" w:rsidRDefault="00A40492" w:rsidP="00DF3662">
            <w:pPr>
              <w:jc w:val="center"/>
              <w:rPr>
                <w:rFonts w:cs="Arial"/>
                <w:b/>
                <w:bCs/>
                <w:szCs w:val="24"/>
              </w:rPr>
            </w:pPr>
            <w:r w:rsidRPr="00B46382">
              <w:rPr>
                <w:rFonts w:cs="Arial"/>
                <w:b/>
                <w:bCs/>
                <w:szCs w:val="24"/>
              </w:rPr>
              <w:t>Intended Programme Outcomes</w:t>
            </w:r>
          </w:p>
        </w:tc>
        <w:tc>
          <w:tcPr>
            <w:tcW w:w="4253" w:type="dxa"/>
            <w:vAlign w:val="center"/>
          </w:tcPr>
          <w:p w14:paraId="1EE3A504" w14:textId="77777777" w:rsidR="00A40492" w:rsidRPr="00B46382" w:rsidRDefault="00A40492" w:rsidP="00DF3662">
            <w:pPr>
              <w:jc w:val="center"/>
              <w:rPr>
                <w:rFonts w:cs="Arial"/>
                <w:b/>
                <w:bCs/>
                <w:szCs w:val="24"/>
              </w:rPr>
            </w:pPr>
            <w:r w:rsidRPr="00B46382">
              <w:rPr>
                <w:rFonts w:cs="Arial"/>
                <w:b/>
                <w:bCs/>
                <w:szCs w:val="24"/>
              </w:rPr>
              <w:t>EORR Risks</w:t>
            </w:r>
          </w:p>
        </w:tc>
      </w:tr>
      <w:tr w:rsidR="00A40492" w:rsidRPr="00B46382" w14:paraId="6C38AF67" w14:textId="77777777" w:rsidTr="00A40492">
        <w:tc>
          <w:tcPr>
            <w:tcW w:w="4531" w:type="dxa"/>
            <w:vAlign w:val="center"/>
          </w:tcPr>
          <w:p w14:paraId="31BE05A6" w14:textId="77777777" w:rsidR="00A40492" w:rsidRPr="00B46382" w:rsidRDefault="00A40492" w:rsidP="00DF3662">
            <w:pPr>
              <w:jc w:val="center"/>
              <w:rPr>
                <w:rFonts w:cs="Arial"/>
                <w:szCs w:val="24"/>
              </w:rPr>
            </w:pPr>
            <w:r w:rsidRPr="00B46382">
              <w:rPr>
                <w:rFonts w:cs="Arial"/>
                <w:szCs w:val="24"/>
              </w:rPr>
              <w:t>Building Knowledge</w:t>
            </w:r>
          </w:p>
        </w:tc>
        <w:tc>
          <w:tcPr>
            <w:tcW w:w="4253" w:type="dxa"/>
            <w:vAlign w:val="center"/>
          </w:tcPr>
          <w:p w14:paraId="61EB8346" w14:textId="77777777" w:rsidR="00A40492" w:rsidRPr="00B46382" w:rsidRDefault="00A40492" w:rsidP="00DF3662">
            <w:pPr>
              <w:jc w:val="center"/>
              <w:rPr>
                <w:rFonts w:cs="Arial"/>
                <w:szCs w:val="24"/>
              </w:rPr>
            </w:pPr>
            <w:r w:rsidRPr="00B46382">
              <w:rPr>
                <w:rFonts w:cs="Arial"/>
                <w:szCs w:val="24"/>
              </w:rPr>
              <w:t>1, 2, 3, 5</w:t>
            </w:r>
          </w:p>
        </w:tc>
      </w:tr>
      <w:tr w:rsidR="00A40492" w:rsidRPr="00B46382" w14:paraId="55DE4888" w14:textId="77777777" w:rsidTr="00A40492">
        <w:tc>
          <w:tcPr>
            <w:tcW w:w="4531" w:type="dxa"/>
            <w:vAlign w:val="center"/>
          </w:tcPr>
          <w:p w14:paraId="55ADF608" w14:textId="77777777" w:rsidR="00A40492" w:rsidRPr="00B46382" w:rsidRDefault="00A40492" w:rsidP="00DF3662">
            <w:pPr>
              <w:jc w:val="center"/>
              <w:rPr>
                <w:rFonts w:cs="Arial"/>
                <w:szCs w:val="24"/>
              </w:rPr>
            </w:pPr>
            <w:r w:rsidRPr="00B46382">
              <w:rPr>
                <w:rFonts w:cs="Arial"/>
                <w:szCs w:val="24"/>
              </w:rPr>
              <w:t>Developing Skills</w:t>
            </w:r>
          </w:p>
        </w:tc>
        <w:tc>
          <w:tcPr>
            <w:tcW w:w="4253" w:type="dxa"/>
            <w:vAlign w:val="center"/>
          </w:tcPr>
          <w:p w14:paraId="0DC4753D" w14:textId="77777777" w:rsidR="00A40492" w:rsidRPr="00B46382" w:rsidRDefault="00A40492" w:rsidP="00DF3662">
            <w:pPr>
              <w:jc w:val="center"/>
              <w:rPr>
                <w:rFonts w:cs="Arial"/>
                <w:szCs w:val="24"/>
              </w:rPr>
            </w:pPr>
            <w:r w:rsidRPr="00B46382">
              <w:rPr>
                <w:rFonts w:cs="Arial"/>
                <w:szCs w:val="24"/>
              </w:rPr>
              <w:t>1, 7, 8</w:t>
            </w:r>
          </w:p>
        </w:tc>
      </w:tr>
      <w:tr w:rsidR="00A40492" w:rsidRPr="00B46382" w14:paraId="1350BA86" w14:textId="77777777" w:rsidTr="00A40492">
        <w:tc>
          <w:tcPr>
            <w:tcW w:w="4531" w:type="dxa"/>
            <w:vAlign w:val="center"/>
          </w:tcPr>
          <w:p w14:paraId="4B9165B8" w14:textId="77777777" w:rsidR="00A40492" w:rsidRPr="00B46382" w:rsidRDefault="00A40492" w:rsidP="00DF3662">
            <w:pPr>
              <w:jc w:val="center"/>
              <w:rPr>
                <w:rFonts w:cs="Arial"/>
                <w:szCs w:val="24"/>
              </w:rPr>
            </w:pPr>
            <w:r w:rsidRPr="00B46382">
              <w:rPr>
                <w:rFonts w:cs="Arial"/>
                <w:szCs w:val="24"/>
              </w:rPr>
              <w:t>Facilitating Learner Cognition</w:t>
            </w:r>
          </w:p>
        </w:tc>
        <w:tc>
          <w:tcPr>
            <w:tcW w:w="4253" w:type="dxa"/>
            <w:vAlign w:val="center"/>
          </w:tcPr>
          <w:p w14:paraId="23F8154B" w14:textId="77777777" w:rsidR="00A40492" w:rsidRPr="00B46382" w:rsidRDefault="00A40492" w:rsidP="00DF3662">
            <w:pPr>
              <w:jc w:val="center"/>
              <w:rPr>
                <w:rFonts w:cs="Arial"/>
                <w:szCs w:val="24"/>
              </w:rPr>
            </w:pPr>
            <w:r w:rsidRPr="00B46382">
              <w:rPr>
                <w:rFonts w:cs="Arial"/>
                <w:szCs w:val="24"/>
              </w:rPr>
              <w:t>1, 2, 7, 8</w:t>
            </w:r>
          </w:p>
        </w:tc>
      </w:tr>
      <w:tr w:rsidR="00A40492" w:rsidRPr="00B46382" w14:paraId="514F5D3D" w14:textId="77777777" w:rsidTr="00A40492">
        <w:tc>
          <w:tcPr>
            <w:tcW w:w="4531" w:type="dxa"/>
            <w:vAlign w:val="center"/>
          </w:tcPr>
          <w:p w14:paraId="1B107163" w14:textId="77777777" w:rsidR="00A40492" w:rsidRPr="00B46382" w:rsidRDefault="00A40492" w:rsidP="00DF3662">
            <w:pPr>
              <w:jc w:val="center"/>
              <w:rPr>
                <w:rFonts w:cs="Arial"/>
                <w:szCs w:val="24"/>
              </w:rPr>
            </w:pPr>
            <w:r w:rsidRPr="00B46382">
              <w:rPr>
                <w:rFonts w:cs="Arial"/>
                <w:szCs w:val="24"/>
              </w:rPr>
              <w:t>Providing Experience</w:t>
            </w:r>
          </w:p>
        </w:tc>
        <w:tc>
          <w:tcPr>
            <w:tcW w:w="4253" w:type="dxa"/>
            <w:vAlign w:val="center"/>
          </w:tcPr>
          <w:p w14:paraId="60DA9A1C" w14:textId="77777777" w:rsidR="00A40492" w:rsidRPr="00B46382" w:rsidRDefault="00A40492" w:rsidP="00DF3662">
            <w:pPr>
              <w:jc w:val="center"/>
              <w:rPr>
                <w:rFonts w:cs="Arial"/>
                <w:szCs w:val="24"/>
              </w:rPr>
            </w:pPr>
            <w:r w:rsidRPr="00B46382">
              <w:rPr>
                <w:rFonts w:cs="Arial"/>
                <w:szCs w:val="24"/>
              </w:rPr>
              <w:t>1, 2, 3, 5, 7, 8</w:t>
            </w:r>
          </w:p>
        </w:tc>
      </w:tr>
      <w:tr w:rsidR="00A40492" w:rsidRPr="00B46382" w14:paraId="7F1550D8" w14:textId="77777777" w:rsidTr="00A40492">
        <w:tc>
          <w:tcPr>
            <w:tcW w:w="4531" w:type="dxa"/>
            <w:vAlign w:val="center"/>
          </w:tcPr>
          <w:p w14:paraId="6CB8CDBE" w14:textId="77777777" w:rsidR="00A40492" w:rsidRPr="00B46382" w:rsidRDefault="00A40492" w:rsidP="00DF3662">
            <w:pPr>
              <w:jc w:val="center"/>
              <w:rPr>
                <w:rFonts w:cs="Arial"/>
                <w:szCs w:val="24"/>
              </w:rPr>
            </w:pPr>
            <w:r w:rsidRPr="00B46382">
              <w:rPr>
                <w:rFonts w:cs="Arial"/>
                <w:szCs w:val="24"/>
              </w:rPr>
              <w:t>Enabling Relational Process</w:t>
            </w:r>
          </w:p>
        </w:tc>
        <w:tc>
          <w:tcPr>
            <w:tcW w:w="4253" w:type="dxa"/>
            <w:vAlign w:val="center"/>
          </w:tcPr>
          <w:p w14:paraId="08B9D109" w14:textId="77777777" w:rsidR="00A40492" w:rsidRPr="00B46382" w:rsidRDefault="00A40492" w:rsidP="00DF3662">
            <w:pPr>
              <w:jc w:val="center"/>
              <w:rPr>
                <w:rFonts w:cs="Arial"/>
                <w:szCs w:val="24"/>
              </w:rPr>
            </w:pPr>
            <w:r w:rsidRPr="00B46382">
              <w:rPr>
                <w:rFonts w:cs="Arial"/>
                <w:szCs w:val="24"/>
              </w:rPr>
              <w:t xml:space="preserve">1, 2, 3, 7, 8, 10 </w:t>
            </w:r>
          </w:p>
        </w:tc>
      </w:tr>
    </w:tbl>
    <w:p w14:paraId="731A2577" w14:textId="77777777" w:rsidR="00D27BDD" w:rsidRPr="00B46382" w:rsidRDefault="00D27BDD" w:rsidP="00D27BDD">
      <w:pPr>
        <w:spacing w:after="0" w:line="240" w:lineRule="auto"/>
        <w:textAlignment w:val="baseline"/>
        <w:rPr>
          <w:rFonts w:eastAsia="Times New Roman" w:cs="Arial"/>
          <w:szCs w:val="24"/>
          <w:lang w:eastAsia="en-GB"/>
        </w:rPr>
      </w:pPr>
    </w:p>
    <w:p w14:paraId="4A12582B" w14:textId="60E06026" w:rsidR="00D27BDD" w:rsidRDefault="00D27BDD" w:rsidP="0088716F">
      <w:pPr>
        <w:spacing w:after="0" w:line="240" w:lineRule="auto"/>
        <w:textAlignment w:val="baseline"/>
        <w:rPr>
          <w:rFonts w:eastAsia="Times New Roman" w:cs="Arial"/>
          <w:szCs w:val="24"/>
          <w:lang w:eastAsia="en-GB"/>
        </w:rPr>
      </w:pPr>
      <w:r w:rsidRPr="00B46382">
        <w:rPr>
          <w:rFonts w:eastAsia="Times New Roman" w:cs="Arial"/>
          <w:szCs w:val="24"/>
          <w:lang w:eastAsia="en-GB"/>
        </w:rPr>
        <w:t>(Risk 1: Knowledge and Skills, Risk 2: Information and Guidance, Risk 3: Perception of HE, Risk 5: Limited choice of course type and delivery mode, Risk 7: Insufficient Academic Support, Risk 8: Mental Health, Risk 10: Cost Pressures)</w:t>
      </w:r>
    </w:p>
    <w:p w14:paraId="1AD58892" w14:textId="0CE4F8B2" w:rsidR="00D914E9" w:rsidRDefault="00D914E9" w:rsidP="0088716F">
      <w:pPr>
        <w:spacing w:after="0" w:line="240" w:lineRule="auto"/>
        <w:textAlignment w:val="baseline"/>
        <w:rPr>
          <w:rFonts w:eastAsia="Times New Roman" w:cs="Arial"/>
          <w:szCs w:val="24"/>
          <w:lang w:eastAsia="en-GB"/>
        </w:rPr>
      </w:pPr>
    </w:p>
    <w:p w14:paraId="2522DBC9" w14:textId="527670D3" w:rsidR="004D5E82" w:rsidRDefault="0055724C" w:rsidP="0055724C">
      <w:pPr>
        <w:pStyle w:val="Heading2"/>
      </w:pPr>
      <w:r>
        <w:t xml:space="preserve">12. </w:t>
      </w:r>
      <w:r w:rsidR="00D914E9">
        <w:t xml:space="preserve">Figure 2: </w:t>
      </w:r>
      <w:r w:rsidR="004D5E82">
        <w:t>Go Higher West Yorkshire Outcomes Framework</w:t>
      </w:r>
    </w:p>
    <w:p w14:paraId="4030F79D" w14:textId="5BE21154" w:rsidR="004D5E82" w:rsidRPr="00B46382" w:rsidRDefault="004D5E82" w:rsidP="0088716F">
      <w:pPr>
        <w:spacing w:after="0" w:line="240" w:lineRule="auto"/>
        <w:textAlignment w:val="baseline"/>
        <w:rPr>
          <w:rFonts w:eastAsia="Times New Roman" w:cs="Arial"/>
          <w:szCs w:val="24"/>
          <w:lang w:eastAsia="en-GB"/>
        </w:rPr>
      </w:pPr>
      <w:r>
        <w:rPr>
          <w:rFonts w:eastAsia="Times New Roman" w:cs="Arial"/>
          <w:szCs w:val="24"/>
          <w:lang w:eastAsia="en-GB"/>
        </w:rPr>
        <w:t>The framework can be found here:</w:t>
      </w:r>
      <w:hyperlink r:id="rId24" w:history="1">
        <w:r w:rsidRPr="004D5E82">
          <w:rPr>
            <w:rStyle w:val="Hyperlink"/>
            <w:rFonts w:eastAsia="Times New Roman" w:cs="Arial"/>
            <w:szCs w:val="24"/>
            <w:lang w:eastAsia="en-GB"/>
          </w:rPr>
          <w:t>https://gohigherwestyorks.ac.uk/resource/ghwy-outcomes-framework/</w:t>
        </w:r>
      </w:hyperlink>
    </w:p>
    <w:p w14:paraId="3D5D0075" w14:textId="5D2E5410" w:rsidR="00D96F20" w:rsidRPr="00B46382" w:rsidRDefault="00D96F20" w:rsidP="00C928F2">
      <w:pPr>
        <w:pStyle w:val="NormalWeb"/>
        <w:spacing w:before="0" w:beforeAutospacing="0" w:after="300" w:afterAutospacing="0"/>
        <w:rPr>
          <w:rFonts w:ascii="Arial" w:hAnsi="Arial" w:cs="Arial"/>
        </w:rPr>
        <w:sectPr w:rsidR="00D96F20" w:rsidRPr="00B46382" w:rsidSect="006320C1">
          <w:pgSz w:w="11906" w:h="16838"/>
          <w:pgMar w:top="1440" w:right="1440" w:bottom="1440" w:left="1440" w:header="708" w:footer="708" w:gutter="0"/>
          <w:cols w:space="708"/>
          <w:docGrid w:linePitch="360"/>
        </w:sectPr>
      </w:pPr>
    </w:p>
    <w:p w14:paraId="62775519" w14:textId="099C18F6" w:rsidR="00384FED" w:rsidRPr="004D5E82" w:rsidRDefault="0055724C" w:rsidP="0055724C">
      <w:pPr>
        <w:pStyle w:val="Heading2"/>
      </w:pPr>
      <w:r>
        <w:lastRenderedPageBreak/>
        <w:t xml:space="preserve">13. </w:t>
      </w:r>
      <w:r w:rsidR="00D836A3" w:rsidRPr="00B46382">
        <w:t>References</w:t>
      </w:r>
    </w:p>
    <w:p w14:paraId="7DDE7FDC" w14:textId="33D10000" w:rsidR="00563FFE" w:rsidRPr="00B46382" w:rsidRDefault="00FC0FEC" w:rsidP="00FC0FEC">
      <w:pPr>
        <w:pStyle w:val="NormalWeb"/>
        <w:spacing w:before="0" w:beforeAutospacing="0" w:after="300" w:afterAutospacing="0"/>
        <w:rPr>
          <w:rFonts w:ascii="Arial" w:hAnsi="Arial" w:cs="Arial"/>
        </w:rPr>
      </w:pPr>
      <w:proofErr w:type="spellStart"/>
      <w:r w:rsidRPr="00B46382">
        <w:rPr>
          <w:rFonts w:ascii="Arial" w:hAnsi="Arial" w:cs="Arial"/>
          <w:color w:val="000000" w:themeColor="text1"/>
        </w:rPr>
        <w:t>A</w:t>
      </w:r>
      <w:r w:rsidR="00345147" w:rsidRPr="00B46382">
        <w:rPr>
          <w:rStyle w:val="Strong"/>
          <w:rFonts w:ascii="Arial" w:eastAsia="Arial" w:hAnsi="Arial" w:cs="Arial"/>
          <w:b w:val="0"/>
          <w:bCs w:val="0"/>
        </w:rPr>
        <w:t>ina</w:t>
      </w:r>
      <w:proofErr w:type="spellEnd"/>
      <w:r w:rsidR="00345147" w:rsidRPr="00B46382">
        <w:rPr>
          <w:rStyle w:val="Strong"/>
          <w:rFonts w:ascii="Arial" w:eastAsia="Arial" w:hAnsi="Arial" w:cs="Arial"/>
          <w:b w:val="0"/>
          <w:bCs w:val="0"/>
        </w:rPr>
        <w:t>, O.</w:t>
      </w:r>
      <w:r w:rsidR="00345147" w:rsidRPr="00B46382">
        <w:rPr>
          <w:rFonts w:ascii="Arial" w:hAnsi="Arial" w:cs="Arial"/>
        </w:rPr>
        <w:t xml:space="preserve">, 2020. The determinants of university dropout: A review of the socio-economic literature. </w:t>
      </w:r>
      <w:r w:rsidR="00345147" w:rsidRPr="00B46382">
        <w:rPr>
          <w:rStyle w:val="Emphasis"/>
          <w:rFonts w:ascii="Arial" w:hAnsi="Arial" w:cs="Arial"/>
        </w:rPr>
        <w:t>ScienceDirect</w:t>
      </w:r>
      <w:r w:rsidR="00345147" w:rsidRPr="00B46382">
        <w:rPr>
          <w:rFonts w:ascii="Arial" w:hAnsi="Arial" w:cs="Arial"/>
        </w:rPr>
        <w:t>. [online] Available at:</w:t>
      </w:r>
      <w:r w:rsidR="00C54776" w:rsidRPr="00B46382">
        <w:rPr>
          <w:rFonts w:ascii="Arial" w:hAnsi="Arial" w:cs="Arial"/>
        </w:rPr>
        <w:t xml:space="preserve"> </w:t>
      </w:r>
      <w:hyperlink r:id="rId25" w:history="1">
        <w:r w:rsidR="00C54776" w:rsidRPr="00B46382">
          <w:rPr>
            <w:rStyle w:val="Hyperlink"/>
            <w:rFonts w:ascii="Arial" w:eastAsia="Arial" w:hAnsi="Arial" w:cs="Arial"/>
          </w:rPr>
          <w:t>The determinants of university dropout: A review of the socio-economic literature - ScienceDirect</w:t>
        </w:r>
      </w:hyperlink>
      <w:r w:rsidR="00345147" w:rsidRPr="00B46382">
        <w:rPr>
          <w:rFonts w:ascii="Arial" w:hAnsi="Arial" w:cs="Arial"/>
        </w:rPr>
        <w:t xml:space="preserve">  [Accessed 1</w:t>
      </w:r>
      <w:r w:rsidR="00C54776" w:rsidRPr="00B46382">
        <w:rPr>
          <w:rFonts w:ascii="Arial" w:hAnsi="Arial" w:cs="Arial"/>
        </w:rPr>
        <w:t>1 May</w:t>
      </w:r>
      <w:r w:rsidR="00345147" w:rsidRPr="00B46382">
        <w:rPr>
          <w:rFonts w:ascii="Arial" w:hAnsi="Arial" w:cs="Arial"/>
        </w:rPr>
        <w:t xml:space="preserve"> 2024].</w:t>
      </w:r>
    </w:p>
    <w:p w14:paraId="2BBFCEDD" w14:textId="1BB0CD09" w:rsidR="00563FFE" w:rsidRPr="00B46382" w:rsidRDefault="00563FFE" w:rsidP="00485101">
      <w:pPr>
        <w:rPr>
          <w:rFonts w:cs="Arial"/>
          <w:szCs w:val="24"/>
        </w:rPr>
      </w:pPr>
      <w:proofErr w:type="spellStart"/>
      <w:r w:rsidRPr="00B46382">
        <w:rPr>
          <w:rFonts w:cs="Arial"/>
          <w:szCs w:val="24"/>
        </w:rPr>
        <w:t>Befani</w:t>
      </w:r>
      <w:proofErr w:type="spellEnd"/>
      <w:r w:rsidRPr="00B46382">
        <w:rPr>
          <w:rFonts w:cs="Arial"/>
          <w:szCs w:val="24"/>
        </w:rPr>
        <w:t xml:space="preserve">, B. (2016) </w:t>
      </w:r>
      <w:r w:rsidRPr="00B46382">
        <w:rPr>
          <w:rStyle w:val="Emphasis"/>
          <w:rFonts w:cs="Arial"/>
          <w:szCs w:val="24"/>
        </w:rPr>
        <w:t>Understanding the impact of interventions to address inequality in the student experience</w:t>
      </w:r>
      <w:r w:rsidRPr="00B46382">
        <w:rPr>
          <w:rFonts w:cs="Arial"/>
          <w:szCs w:val="24"/>
        </w:rPr>
        <w:t>. Available at:</w:t>
      </w:r>
      <w:r w:rsidR="002D6654" w:rsidRPr="00B46382">
        <w:rPr>
          <w:rFonts w:cs="Arial"/>
          <w:szCs w:val="24"/>
        </w:rPr>
        <w:t xml:space="preserve"> </w:t>
      </w:r>
      <w:hyperlink r:id="rId26" w:history="1">
        <w:r w:rsidR="002D6654" w:rsidRPr="00B46382">
          <w:rPr>
            <w:rStyle w:val="Hyperlink"/>
            <w:rFonts w:cs="Arial"/>
            <w:szCs w:val="24"/>
          </w:rPr>
          <w:t>Understanding the impact of interventions to address inequality in the student experience (taso.org.uk)</w:t>
        </w:r>
      </w:hyperlink>
      <w:r w:rsidRPr="00B46382">
        <w:rPr>
          <w:rFonts w:cs="Arial"/>
          <w:szCs w:val="24"/>
        </w:rPr>
        <w:t xml:space="preserve">  (Accessed: </w:t>
      </w:r>
      <w:r w:rsidR="002D6654" w:rsidRPr="00B46382">
        <w:rPr>
          <w:rFonts w:cs="Arial"/>
          <w:szCs w:val="24"/>
        </w:rPr>
        <w:t>4</w:t>
      </w:r>
      <w:r w:rsidRPr="00B46382">
        <w:rPr>
          <w:rFonts w:cs="Arial"/>
          <w:szCs w:val="24"/>
        </w:rPr>
        <w:t xml:space="preserve"> </w:t>
      </w:r>
      <w:r w:rsidR="002D6654" w:rsidRPr="00B46382">
        <w:rPr>
          <w:rFonts w:cs="Arial"/>
          <w:szCs w:val="24"/>
        </w:rPr>
        <w:t>August</w:t>
      </w:r>
      <w:r w:rsidRPr="00B46382">
        <w:rPr>
          <w:rFonts w:cs="Arial"/>
          <w:szCs w:val="24"/>
        </w:rPr>
        <w:t xml:space="preserve"> 2024).</w:t>
      </w:r>
    </w:p>
    <w:p w14:paraId="3252D719" w14:textId="6E2AF6E1" w:rsidR="00485101" w:rsidRPr="00B46382" w:rsidRDefault="00485101" w:rsidP="00B93D08">
      <w:pPr>
        <w:rPr>
          <w:rFonts w:cs="Arial"/>
          <w:szCs w:val="24"/>
        </w:rPr>
      </w:pPr>
      <w:r w:rsidRPr="00B46382">
        <w:rPr>
          <w:rFonts w:cs="Arial"/>
          <w:szCs w:val="24"/>
        </w:rPr>
        <w:t>BERA (2021)</w:t>
      </w:r>
      <w:r w:rsidR="00B93D08" w:rsidRPr="00B46382">
        <w:rPr>
          <w:rFonts w:cs="Arial"/>
          <w:szCs w:val="24"/>
        </w:rPr>
        <w:t xml:space="preserve"> </w:t>
      </w:r>
      <w:r w:rsidRPr="00B46382">
        <w:rPr>
          <w:rFonts w:cs="Arial"/>
          <w:szCs w:val="24"/>
        </w:rPr>
        <w:t xml:space="preserve">Effective feedback in HE (BERA 2021) </w:t>
      </w:r>
      <w:hyperlink r:id="rId27" w:history="1">
        <w:r w:rsidRPr="00B46382">
          <w:rPr>
            <w:rStyle w:val="Hyperlink"/>
            <w:rFonts w:cs="Arial"/>
            <w:szCs w:val="24"/>
          </w:rPr>
          <w:t>Formative assessment and feedback for learning in higher education: A systematic review - Morris - 2021 - Review of Education - Wiley Online Library</w:t>
        </w:r>
      </w:hyperlink>
      <w:r w:rsidRPr="00B46382">
        <w:rPr>
          <w:rFonts w:cs="Arial"/>
          <w:szCs w:val="24"/>
        </w:rPr>
        <w:t xml:space="preserve"> </w:t>
      </w:r>
    </w:p>
    <w:p w14:paraId="59A7FB44" w14:textId="26D5A2BC" w:rsidR="00B333C3" w:rsidRPr="00B46382" w:rsidRDefault="00B333C3" w:rsidP="00B93D08">
      <w:pPr>
        <w:rPr>
          <w:rFonts w:cs="Arial"/>
          <w:szCs w:val="24"/>
        </w:rPr>
      </w:pPr>
      <w:r w:rsidRPr="00B46382">
        <w:rPr>
          <w:rStyle w:val="Strong"/>
          <w:rFonts w:cs="Arial"/>
          <w:b w:val="0"/>
          <w:bCs w:val="0"/>
          <w:szCs w:val="24"/>
        </w:rPr>
        <w:t>Breaking the Care Ceiling</w:t>
      </w:r>
      <w:r w:rsidRPr="00B46382">
        <w:rPr>
          <w:rFonts w:cs="Arial"/>
          <w:szCs w:val="24"/>
        </w:rPr>
        <w:t xml:space="preserve">, (2023). </w:t>
      </w:r>
      <w:r w:rsidRPr="00B46382">
        <w:rPr>
          <w:rStyle w:val="Emphasis"/>
          <w:rFonts w:cs="Arial"/>
          <w:szCs w:val="24"/>
        </w:rPr>
        <w:t>Breaking the care ceiling: Empowering care leavers in higher education</w:t>
      </w:r>
      <w:r w:rsidRPr="00B46382">
        <w:rPr>
          <w:rFonts w:cs="Arial"/>
          <w:szCs w:val="24"/>
        </w:rPr>
        <w:t>. London: National Network for the Education of Care Leavers (NNECL).</w:t>
      </w:r>
    </w:p>
    <w:p w14:paraId="2043CA51" w14:textId="7000193A" w:rsidR="004831C5" w:rsidRPr="00B46382" w:rsidRDefault="004831C5" w:rsidP="00C01FB8">
      <w:pPr>
        <w:spacing w:after="0" w:line="240" w:lineRule="auto"/>
        <w:rPr>
          <w:rFonts w:cs="Arial"/>
          <w:szCs w:val="24"/>
        </w:rPr>
      </w:pPr>
      <w:proofErr w:type="spellStart"/>
      <w:r w:rsidRPr="00B46382">
        <w:rPr>
          <w:rFonts w:cs="Arial"/>
          <w:szCs w:val="24"/>
        </w:rPr>
        <w:t>Broecke</w:t>
      </w:r>
      <w:proofErr w:type="spellEnd"/>
      <w:r w:rsidRPr="00B46382">
        <w:rPr>
          <w:rFonts w:cs="Arial"/>
          <w:szCs w:val="24"/>
        </w:rPr>
        <w:t>, S. and Nicholls, T. (2007). Ethnicity and degree attainment. Research Report RW92. Department for Education and Skills. UK.</w:t>
      </w:r>
    </w:p>
    <w:p w14:paraId="2B27ED02" w14:textId="77777777" w:rsidR="004831C5" w:rsidRPr="00B46382" w:rsidRDefault="004831C5" w:rsidP="00C01FB8">
      <w:pPr>
        <w:spacing w:after="0" w:line="240" w:lineRule="auto"/>
        <w:rPr>
          <w:rFonts w:cs="Arial"/>
          <w:szCs w:val="24"/>
        </w:rPr>
      </w:pPr>
    </w:p>
    <w:p w14:paraId="2F072395" w14:textId="77777777" w:rsidR="00FB011D" w:rsidRPr="00B46382" w:rsidRDefault="00F25252" w:rsidP="00FB011D">
      <w:pPr>
        <w:spacing w:after="120"/>
        <w:rPr>
          <w:rFonts w:cs="Arial"/>
          <w:szCs w:val="24"/>
        </w:rPr>
      </w:pPr>
      <w:proofErr w:type="spellStart"/>
      <w:r w:rsidRPr="00B46382">
        <w:rPr>
          <w:rFonts w:cs="Arial"/>
          <w:szCs w:val="24"/>
        </w:rPr>
        <w:t>Callender</w:t>
      </w:r>
      <w:proofErr w:type="spellEnd"/>
      <w:r w:rsidRPr="00B46382">
        <w:rPr>
          <w:rFonts w:cs="Arial"/>
          <w:szCs w:val="24"/>
        </w:rPr>
        <w:t xml:space="preserve">, C., 2008. </w:t>
      </w:r>
      <w:r w:rsidRPr="00B46382">
        <w:rPr>
          <w:rStyle w:val="Emphasis"/>
          <w:rFonts w:cs="Arial"/>
          <w:szCs w:val="24"/>
        </w:rPr>
        <w:t>The impact of term</w:t>
      </w:r>
      <w:r w:rsidRPr="00B46382">
        <w:rPr>
          <w:rStyle w:val="Emphasis"/>
          <w:rFonts w:ascii="Cambria Math" w:hAnsi="Cambria Math" w:cs="Cambria Math"/>
          <w:szCs w:val="24"/>
        </w:rPr>
        <w:t>‐</w:t>
      </w:r>
      <w:r w:rsidRPr="00B46382">
        <w:rPr>
          <w:rStyle w:val="Emphasis"/>
          <w:rFonts w:cs="Arial"/>
          <w:szCs w:val="24"/>
        </w:rPr>
        <w:t>time employment on higher education students' academic attainment and achievement</w:t>
      </w:r>
      <w:r w:rsidRPr="00B46382">
        <w:rPr>
          <w:rFonts w:cs="Arial"/>
          <w:szCs w:val="24"/>
        </w:rPr>
        <w:t>. Journal of Education Policy, 23(4), pp.359-377.</w:t>
      </w:r>
    </w:p>
    <w:p w14:paraId="74C09017" w14:textId="12EB1EA4" w:rsidR="00F25252" w:rsidRPr="00B46382" w:rsidRDefault="0093076A" w:rsidP="00C01FB8">
      <w:pPr>
        <w:spacing w:after="0" w:line="240" w:lineRule="auto"/>
        <w:rPr>
          <w:rFonts w:cs="Arial"/>
          <w:szCs w:val="24"/>
        </w:rPr>
      </w:pPr>
      <w:r w:rsidRPr="00B46382">
        <w:rPr>
          <w:rFonts w:cs="Arial"/>
          <w:szCs w:val="24"/>
        </w:rPr>
        <w:t xml:space="preserve">Crawford, C. and Greaves, E. (2015) </w:t>
      </w:r>
      <w:r w:rsidRPr="00B46382">
        <w:rPr>
          <w:rStyle w:val="Emphasis"/>
          <w:rFonts w:cs="Arial"/>
          <w:szCs w:val="24"/>
        </w:rPr>
        <w:t>Influences on higher education participation: Evidence from the Higher Education Academy</w:t>
      </w:r>
      <w:r w:rsidRPr="00B46382">
        <w:rPr>
          <w:rFonts w:cs="Arial"/>
          <w:szCs w:val="24"/>
        </w:rPr>
        <w:t xml:space="preserve">. Higher Education Policy Institute (HEPI) Report 82. London: Higher Education Policy Institute. Available at: </w:t>
      </w:r>
      <w:hyperlink r:id="rId28" w:tgtFrame="_new" w:history="1">
        <w:r w:rsidRPr="00B46382">
          <w:rPr>
            <w:rStyle w:val="Hyperlink"/>
            <w:rFonts w:cs="Arial"/>
            <w:szCs w:val="24"/>
          </w:rPr>
          <w:t>https://www.hepi.ac.uk/wp-content/uploads/2015/01/HEPI-Report-82-Influences-on-Higher-Education-Participation.pdf</w:t>
        </w:r>
      </w:hyperlink>
      <w:r w:rsidRPr="00B46382">
        <w:rPr>
          <w:rFonts w:cs="Arial"/>
          <w:szCs w:val="24"/>
        </w:rPr>
        <w:t xml:space="preserve"> (Accessed: 3 September 2024).</w:t>
      </w:r>
    </w:p>
    <w:p w14:paraId="3DA890EE" w14:textId="77777777" w:rsidR="0093076A" w:rsidRPr="00B46382" w:rsidRDefault="0093076A" w:rsidP="00C01FB8">
      <w:pPr>
        <w:spacing w:after="0" w:line="240" w:lineRule="auto"/>
        <w:rPr>
          <w:rFonts w:cs="Arial"/>
          <w:szCs w:val="24"/>
        </w:rPr>
      </w:pPr>
    </w:p>
    <w:p w14:paraId="0528719E" w14:textId="10EAEC08" w:rsidR="009E5C21" w:rsidRPr="00B46382" w:rsidRDefault="009E5C21" w:rsidP="00095B23">
      <w:pPr>
        <w:pStyle w:val="NormalWeb"/>
        <w:spacing w:before="0" w:beforeAutospacing="0" w:after="300" w:afterAutospacing="0"/>
        <w:rPr>
          <w:rFonts w:ascii="Arial" w:hAnsi="Arial" w:cs="Arial"/>
          <w:color w:val="000000" w:themeColor="text1"/>
        </w:rPr>
      </w:pPr>
      <w:r w:rsidRPr="00B46382">
        <w:rPr>
          <w:rFonts w:ascii="Arial" w:hAnsi="Arial" w:cs="Arial"/>
        </w:rPr>
        <w:t xml:space="preserve">Crawford, C., </w:t>
      </w:r>
      <w:proofErr w:type="spellStart"/>
      <w:r w:rsidRPr="00B46382">
        <w:rPr>
          <w:rFonts w:ascii="Arial" w:hAnsi="Arial" w:cs="Arial"/>
        </w:rPr>
        <w:t>Dytham</w:t>
      </w:r>
      <w:proofErr w:type="spellEnd"/>
      <w:r w:rsidRPr="00B46382">
        <w:rPr>
          <w:rFonts w:ascii="Arial" w:hAnsi="Arial" w:cs="Arial"/>
        </w:rPr>
        <w:t xml:space="preserve">, S. and Naylor, R. (2017) </w:t>
      </w:r>
      <w:r w:rsidRPr="00B46382">
        <w:rPr>
          <w:rStyle w:val="Emphasis"/>
          <w:rFonts w:ascii="Arial" w:eastAsia="Arial" w:hAnsi="Arial" w:cs="Arial"/>
        </w:rPr>
        <w:t>The evaluation of the impact of outreach: proposed standards of evaluation practice and associated guidance</w:t>
      </w:r>
      <w:r w:rsidRPr="00B46382">
        <w:rPr>
          <w:rFonts w:ascii="Arial" w:hAnsi="Arial" w:cs="Arial"/>
        </w:rPr>
        <w:t>. Bristol: Office for Fair Access.</w:t>
      </w:r>
    </w:p>
    <w:p w14:paraId="256EE9D9" w14:textId="610F70D5" w:rsidR="00B96638" w:rsidRPr="00B46382" w:rsidRDefault="00B96638" w:rsidP="00C01FB8">
      <w:pPr>
        <w:spacing w:after="0" w:line="240" w:lineRule="auto"/>
        <w:rPr>
          <w:rFonts w:cs="Arial"/>
          <w:szCs w:val="24"/>
        </w:rPr>
      </w:pPr>
      <w:r w:rsidRPr="00B46382">
        <w:rPr>
          <w:rFonts w:cs="Arial"/>
          <w:szCs w:val="24"/>
        </w:rPr>
        <w:t xml:space="preserve">Cullinan, J. (2020) 'Socioeconomic disparities in unmet need for student mental health services in higher education', </w:t>
      </w:r>
      <w:r w:rsidRPr="00B46382">
        <w:rPr>
          <w:rStyle w:val="Emphasis"/>
          <w:rFonts w:cs="Arial"/>
          <w:szCs w:val="24"/>
        </w:rPr>
        <w:t>PubMed</w:t>
      </w:r>
      <w:r w:rsidRPr="00B46382">
        <w:rPr>
          <w:rFonts w:cs="Arial"/>
          <w:szCs w:val="24"/>
        </w:rPr>
        <w:t>. Available at:</w:t>
      </w:r>
      <w:r w:rsidR="009D1A66" w:rsidRPr="00B46382">
        <w:rPr>
          <w:rFonts w:cs="Arial"/>
          <w:szCs w:val="24"/>
        </w:rPr>
        <w:t xml:space="preserve"> </w:t>
      </w:r>
      <w:hyperlink r:id="rId29" w:history="1">
        <w:r w:rsidR="009D1A66" w:rsidRPr="00B46382">
          <w:rPr>
            <w:rStyle w:val="Hyperlink"/>
            <w:rFonts w:cs="Arial"/>
            <w:szCs w:val="24"/>
          </w:rPr>
          <w:t>Socioeconomic Disparities in Unmet Need for Student Mental Health Services in Higher Education - PubMed (nih.gov)</w:t>
        </w:r>
      </w:hyperlink>
      <w:r w:rsidR="009D1A66" w:rsidRPr="00B46382">
        <w:rPr>
          <w:rFonts w:cs="Arial"/>
          <w:szCs w:val="24"/>
        </w:rPr>
        <w:t xml:space="preserve"> </w:t>
      </w:r>
      <w:r w:rsidRPr="00B46382">
        <w:rPr>
          <w:rFonts w:cs="Arial"/>
          <w:szCs w:val="24"/>
        </w:rPr>
        <w:t>(Accessed: 1 August 2024).</w:t>
      </w:r>
    </w:p>
    <w:p w14:paraId="3592ABE1" w14:textId="77777777" w:rsidR="00144DBA" w:rsidRPr="00B46382" w:rsidRDefault="00144DBA" w:rsidP="00C01FB8">
      <w:pPr>
        <w:spacing w:after="0" w:line="240" w:lineRule="auto"/>
        <w:rPr>
          <w:rFonts w:cs="Arial"/>
          <w:szCs w:val="24"/>
        </w:rPr>
      </w:pPr>
    </w:p>
    <w:p w14:paraId="14451F3A" w14:textId="289667B5" w:rsidR="00144DBA" w:rsidRPr="00B46382" w:rsidRDefault="00144DBA" w:rsidP="00C01FB8">
      <w:pPr>
        <w:spacing w:after="0" w:line="240" w:lineRule="auto"/>
        <w:rPr>
          <w:rFonts w:cs="Arial"/>
          <w:szCs w:val="24"/>
        </w:rPr>
      </w:pPr>
      <w:r w:rsidRPr="00B46382">
        <w:rPr>
          <w:rFonts w:cs="Arial"/>
          <w:szCs w:val="24"/>
        </w:rPr>
        <w:t xml:space="preserve">Department for Education (2021) </w:t>
      </w:r>
      <w:r w:rsidRPr="00B46382">
        <w:rPr>
          <w:rStyle w:val="Emphasis"/>
          <w:rFonts w:cs="Arial"/>
          <w:szCs w:val="24"/>
        </w:rPr>
        <w:t>Disabled Students' Allowances (DSA) - Evaluation Report</w:t>
      </w:r>
      <w:r w:rsidRPr="00B46382">
        <w:rPr>
          <w:rFonts w:cs="Arial"/>
          <w:szCs w:val="24"/>
        </w:rPr>
        <w:t>. [online] Available at</w:t>
      </w:r>
      <w:r w:rsidR="009B1647" w:rsidRPr="00B46382">
        <w:rPr>
          <w:rFonts w:cs="Arial"/>
          <w:szCs w:val="24"/>
        </w:rPr>
        <w:t xml:space="preserve"> </w:t>
      </w:r>
      <w:hyperlink r:id="rId30" w:history="1">
        <w:r w:rsidR="009B1647" w:rsidRPr="00B46382">
          <w:rPr>
            <w:rStyle w:val="Hyperlink"/>
            <w:rFonts w:cs="Arial"/>
            <w:szCs w:val="24"/>
          </w:rPr>
          <w:t>Evaluation of Disabled Students’ Allowances (DSAs) - GOV.UK (www.gov.uk)</w:t>
        </w:r>
      </w:hyperlink>
      <w:r w:rsidRPr="00B46382">
        <w:rPr>
          <w:rFonts w:cs="Arial"/>
          <w:szCs w:val="24"/>
        </w:rPr>
        <w:t xml:space="preserve"> [Accessed 1 September 2024].</w:t>
      </w:r>
    </w:p>
    <w:p w14:paraId="2F5CAEA9" w14:textId="77777777" w:rsidR="00C54776" w:rsidRPr="00B46382" w:rsidRDefault="00C54776" w:rsidP="00C01FB8">
      <w:pPr>
        <w:spacing w:after="0" w:line="240" w:lineRule="auto"/>
        <w:rPr>
          <w:rFonts w:cs="Arial"/>
          <w:szCs w:val="24"/>
        </w:rPr>
      </w:pPr>
    </w:p>
    <w:p w14:paraId="5F2B1036" w14:textId="45EC0061" w:rsidR="000D4F9B" w:rsidRPr="00B46382" w:rsidRDefault="00C54776" w:rsidP="00C54776">
      <w:pPr>
        <w:pStyle w:val="NormalWeb"/>
        <w:shd w:val="clear" w:color="auto" w:fill="FFFFFF"/>
        <w:spacing w:before="0" w:beforeAutospacing="0" w:after="300" w:afterAutospacing="0"/>
        <w:rPr>
          <w:rFonts w:ascii="Arial" w:hAnsi="Arial" w:cs="Arial"/>
        </w:rPr>
      </w:pPr>
      <w:proofErr w:type="spellStart"/>
      <w:r w:rsidRPr="00B46382">
        <w:rPr>
          <w:rFonts w:ascii="Arial" w:hAnsi="Arial" w:cs="Arial"/>
          <w:color w:val="373737"/>
          <w:shd w:val="clear" w:color="auto" w:fill="FFFFFF"/>
        </w:rPr>
        <w:t>Dunlosky</w:t>
      </w:r>
      <w:proofErr w:type="spellEnd"/>
      <w:r w:rsidRPr="00B46382">
        <w:rPr>
          <w:rFonts w:ascii="Arial" w:hAnsi="Arial" w:cs="Arial"/>
          <w:color w:val="373737"/>
          <w:shd w:val="clear" w:color="auto" w:fill="FFFFFF"/>
        </w:rPr>
        <w:t>, J., Rawson, K. A., Marsh, E. J., Nathan, M. J., &amp; Willingham, D. T. (2013). Improving students’ learning with effective learning techniques: Promising directions from cognitive and educational psychology. </w:t>
      </w:r>
      <w:r w:rsidRPr="00B46382">
        <w:rPr>
          <w:rStyle w:val="Emphasis"/>
          <w:rFonts w:ascii="Arial" w:eastAsia="Arial" w:hAnsi="Arial" w:cs="Arial"/>
          <w:color w:val="373737"/>
          <w:shd w:val="clear" w:color="auto" w:fill="FFFFFF"/>
        </w:rPr>
        <w:t>Psychological Science in the public interest, 14</w:t>
      </w:r>
      <w:r w:rsidRPr="00B46382">
        <w:rPr>
          <w:rFonts w:ascii="Arial" w:hAnsi="Arial" w:cs="Arial"/>
          <w:color w:val="373737"/>
          <w:shd w:val="clear" w:color="auto" w:fill="FFFFFF"/>
        </w:rPr>
        <w:t>(1), 4-58.</w:t>
      </w:r>
    </w:p>
    <w:p w14:paraId="17FDEF5E" w14:textId="1E9338C0" w:rsidR="005361DD" w:rsidRPr="00B46382" w:rsidRDefault="000D4F9B" w:rsidP="00C01FB8">
      <w:pPr>
        <w:spacing w:after="0" w:line="240" w:lineRule="auto"/>
        <w:rPr>
          <w:rFonts w:cs="Arial"/>
          <w:szCs w:val="24"/>
        </w:rPr>
      </w:pPr>
      <w:r w:rsidRPr="00B46382">
        <w:rPr>
          <w:rFonts w:cs="Arial"/>
          <w:szCs w:val="24"/>
        </w:rPr>
        <w:lastRenderedPageBreak/>
        <w:t xml:space="preserve">Galindo-Rueda, F., </w:t>
      </w:r>
      <w:proofErr w:type="spellStart"/>
      <w:r w:rsidRPr="00B46382">
        <w:rPr>
          <w:rFonts w:cs="Arial"/>
          <w:szCs w:val="24"/>
        </w:rPr>
        <w:t>Haskel</w:t>
      </w:r>
      <w:proofErr w:type="spellEnd"/>
      <w:r w:rsidRPr="00B46382">
        <w:rPr>
          <w:rFonts w:cs="Arial"/>
          <w:szCs w:val="24"/>
        </w:rPr>
        <w:t xml:space="preserve">, J. and Martin, R. (2020) </w:t>
      </w:r>
      <w:r w:rsidRPr="00B46382">
        <w:rPr>
          <w:rStyle w:val="Emphasis"/>
          <w:rFonts w:cs="Arial"/>
          <w:szCs w:val="24"/>
        </w:rPr>
        <w:t>The widening socioeconomic gap in UK higher education</w:t>
      </w:r>
      <w:r w:rsidRPr="00B46382">
        <w:rPr>
          <w:rFonts w:cs="Arial"/>
          <w:szCs w:val="24"/>
        </w:rPr>
        <w:t>.</w:t>
      </w:r>
    </w:p>
    <w:p w14:paraId="7C484947" w14:textId="77777777" w:rsidR="004067B9" w:rsidRPr="00B46382" w:rsidRDefault="004067B9" w:rsidP="00C01FB8">
      <w:pPr>
        <w:spacing w:after="0" w:line="240" w:lineRule="auto"/>
        <w:rPr>
          <w:rFonts w:cs="Arial"/>
          <w:szCs w:val="24"/>
        </w:rPr>
      </w:pPr>
    </w:p>
    <w:p w14:paraId="608D1A58" w14:textId="271B1B99" w:rsidR="004067B9" w:rsidRPr="00B46382" w:rsidRDefault="004067B9" w:rsidP="00C01FB8">
      <w:pPr>
        <w:spacing w:after="0" w:line="240" w:lineRule="auto"/>
        <w:rPr>
          <w:rFonts w:cs="Arial"/>
          <w:szCs w:val="24"/>
        </w:rPr>
      </w:pPr>
      <w:r w:rsidRPr="00B46382">
        <w:rPr>
          <w:rFonts w:cs="Arial"/>
          <w:szCs w:val="24"/>
        </w:rPr>
        <w:t xml:space="preserve">Harrison, N. (2018) 'Using the lens of "possible selves" to explore access to higher education: A new conceptual model for practice, policy, and research', </w:t>
      </w:r>
      <w:r w:rsidRPr="00B46382">
        <w:rPr>
          <w:rStyle w:val="Emphasis"/>
          <w:rFonts w:cs="Arial"/>
          <w:szCs w:val="24"/>
        </w:rPr>
        <w:t>Social Sciences</w:t>
      </w:r>
      <w:r w:rsidRPr="00B46382">
        <w:rPr>
          <w:rFonts w:cs="Arial"/>
          <w:szCs w:val="24"/>
        </w:rPr>
        <w:t>, 7(10), p. 209.</w:t>
      </w:r>
    </w:p>
    <w:p w14:paraId="11FC1E1B" w14:textId="34C185CD" w:rsidR="00FB011D" w:rsidRPr="00B46382" w:rsidRDefault="00FB011D" w:rsidP="00FB011D">
      <w:pPr>
        <w:pStyle w:val="NormalWeb"/>
        <w:rPr>
          <w:rFonts w:ascii="Arial" w:hAnsi="Arial" w:cs="Arial"/>
        </w:rPr>
      </w:pPr>
      <w:r w:rsidRPr="00B46382">
        <w:rPr>
          <w:rStyle w:val="Strong"/>
          <w:rFonts w:ascii="Arial" w:hAnsi="Arial" w:cs="Arial"/>
          <w:b w:val="0"/>
          <w:bCs w:val="0"/>
        </w:rPr>
        <w:t>Harrison, N. and Waller, R. (2017).</w:t>
      </w:r>
      <w:r w:rsidRPr="00B46382">
        <w:rPr>
          <w:rFonts w:ascii="Arial" w:hAnsi="Arial" w:cs="Arial"/>
        </w:rPr>
        <w:t xml:space="preserve"> </w:t>
      </w:r>
      <w:r w:rsidRPr="00B46382">
        <w:rPr>
          <w:rStyle w:val="Emphasis"/>
          <w:rFonts w:ascii="Arial" w:eastAsia="Arial" w:hAnsi="Arial" w:cs="Arial"/>
        </w:rPr>
        <w:t>"The impact of college taster days on students' aspirations and progression to higher education."</w:t>
      </w:r>
      <w:r w:rsidRPr="00B46382">
        <w:rPr>
          <w:rFonts w:ascii="Arial" w:hAnsi="Arial" w:cs="Arial"/>
        </w:rPr>
        <w:t xml:space="preserve"> </w:t>
      </w:r>
      <w:r w:rsidRPr="00B46382">
        <w:rPr>
          <w:rStyle w:val="Emphasis"/>
          <w:rFonts w:ascii="Arial" w:eastAsia="Arial" w:hAnsi="Arial" w:cs="Arial"/>
        </w:rPr>
        <w:t>Research in Post-Compulsory Education</w:t>
      </w:r>
      <w:r w:rsidRPr="00B46382">
        <w:rPr>
          <w:rFonts w:ascii="Arial" w:hAnsi="Arial" w:cs="Arial"/>
        </w:rPr>
        <w:t xml:space="preserve">, 22(3), pp. 297-314. </w:t>
      </w:r>
    </w:p>
    <w:p w14:paraId="463F4D54" w14:textId="49A297D3" w:rsidR="005361DD" w:rsidRPr="00B46382" w:rsidRDefault="005361DD" w:rsidP="00C01FB8">
      <w:pPr>
        <w:spacing w:after="0" w:line="240" w:lineRule="auto"/>
        <w:rPr>
          <w:rFonts w:eastAsia="Times New Roman" w:cs="Arial"/>
          <w:szCs w:val="24"/>
          <w:lang w:eastAsia="en-GB"/>
        </w:rPr>
      </w:pPr>
      <w:r w:rsidRPr="00B46382">
        <w:rPr>
          <w:rFonts w:cs="Arial"/>
          <w:szCs w:val="24"/>
        </w:rPr>
        <w:t xml:space="preserve">Higher Education Statistics Agency (HESA) (2023) </w:t>
      </w:r>
      <w:r w:rsidRPr="00B46382">
        <w:rPr>
          <w:rStyle w:val="Emphasis"/>
          <w:rFonts w:cs="Arial"/>
          <w:szCs w:val="24"/>
        </w:rPr>
        <w:t>Degree attainment by socioeconomic background in the UK: 2017/18 to 2021/22</w:t>
      </w:r>
      <w:r w:rsidRPr="00B46382">
        <w:rPr>
          <w:rFonts w:cs="Arial"/>
          <w:szCs w:val="24"/>
        </w:rPr>
        <w:t>. Available at: [</w:t>
      </w:r>
      <w:hyperlink r:id="rId31" w:history="1">
        <w:r w:rsidR="0014635D" w:rsidRPr="00B46382">
          <w:rPr>
            <w:rStyle w:val="Hyperlink"/>
            <w:rFonts w:cs="Arial"/>
            <w:szCs w:val="24"/>
          </w:rPr>
          <w:t>Degree attainment by socioeconomic background: UK, 2017/18 to 2020/21 | HESA</w:t>
        </w:r>
      </w:hyperlink>
      <w:r w:rsidR="0014635D" w:rsidRPr="00B46382">
        <w:rPr>
          <w:rFonts w:cs="Arial"/>
          <w:szCs w:val="24"/>
        </w:rPr>
        <w:t xml:space="preserve"> Acc</w:t>
      </w:r>
      <w:r w:rsidRPr="00B46382">
        <w:rPr>
          <w:rFonts w:cs="Arial"/>
          <w:szCs w:val="24"/>
        </w:rPr>
        <w:t>essed: 1</w:t>
      </w:r>
      <w:r w:rsidR="0014635D" w:rsidRPr="00B46382">
        <w:rPr>
          <w:rFonts w:cs="Arial"/>
          <w:szCs w:val="24"/>
        </w:rPr>
        <w:t xml:space="preserve"> May</w:t>
      </w:r>
      <w:r w:rsidRPr="00B46382">
        <w:rPr>
          <w:rFonts w:cs="Arial"/>
          <w:szCs w:val="24"/>
        </w:rPr>
        <w:t xml:space="preserve"> 2024).</w:t>
      </w:r>
    </w:p>
    <w:p w14:paraId="6DC39793" w14:textId="77777777" w:rsidR="00C63B6D" w:rsidRPr="00B46382" w:rsidRDefault="00C63B6D" w:rsidP="00C01FB8">
      <w:pPr>
        <w:spacing w:after="0" w:line="240" w:lineRule="auto"/>
        <w:rPr>
          <w:rFonts w:eastAsia="Times New Roman" w:cs="Arial"/>
          <w:szCs w:val="24"/>
          <w:lang w:eastAsia="en-GB"/>
        </w:rPr>
      </w:pPr>
    </w:p>
    <w:p w14:paraId="640BD30F" w14:textId="358B823A" w:rsidR="00C63B6D" w:rsidRPr="00B46382" w:rsidRDefault="001304E8" w:rsidP="00462B1F">
      <w:pPr>
        <w:pStyle w:val="NormalWeb"/>
        <w:shd w:val="clear" w:color="auto" w:fill="FFFFFF"/>
        <w:spacing w:before="0" w:beforeAutospacing="0" w:after="300" w:afterAutospacing="0"/>
        <w:rPr>
          <w:rFonts w:ascii="Arial" w:hAnsi="Arial" w:cs="Arial"/>
        </w:rPr>
      </w:pPr>
      <w:r w:rsidRPr="00B46382">
        <w:rPr>
          <w:rStyle w:val="Strong"/>
          <w:rFonts w:ascii="Arial" w:eastAsia="Arial" w:hAnsi="Arial" w:cs="Arial"/>
          <w:b w:val="0"/>
          <w:bCs w:val="0"/>
        </w:rPr>
        <w:t xml:space="preserve">Hillman, N. (2015). </w:t>
      </w:r>
      <w:r w:rsidRPr="00B46382">
        <w:rPr>
          <w:rStyle w:val="Emphasis"/>
          <w:rFonts w:ascii="Arial" w:hAnsi="Arial" w:cs="Arial"/>
        </w:rPr>
        <w:t>Student Academic Experience Survey 2015</w:t>
      </w:r>
      <w:r w:rsidRPr="00B46382">
        <w:rPr>
          <w:rStyle w:val="Strong"/>
          <w:rFonts w:ascii="Arial" w:eastAsia="Arial" w:hAnsi="Arial" w:cs="Arial"/>
          <w:b w:val="0"/>
          <w:bCs w:val="0"/>
        </w:rPr>
        <w:t>. Higher Education Policy Institute (HEPI) and Higher Education Academy (HEA).</w:t>
      </w:r>
      <w:r w:rsidRPr="00B46382">
        <w:rPr>
          <w:rFonts w:ascii="Arial" w:hAnsi="Arial" w:cs="Arial"/>
        </w:rPr>
        <w:t xml:space="preserve"> Available at: https://www.hepi.ac.uk/wp-content/uploads/2015/06/AS-PRINTED-HEA_Student-Academic-Experience-Survey-2015.pdf (Accessed: 1/09/24).</w:t>
      </w:r>
    </w:p>
    <w:p w14:paraId="5884BEF6" w14:textId="725F28AA" w:rsidR="00322068" w:rsidRPr="00B46382" w:rsidRDefault="00322068" w:rsidP="00322068">
      <w:pPr>
        <w:rPr>
          <w:rFonts w:cs="Arial"/>
          <w:szCs w:val="24"/>
        </w:rPr>
      </w:pPr>
      <w:r w:rsidRPr="00B46382">
        <w:rPr>
          <w:rFonts w:cs="Arial"/>
          <w:szCs w:val="24"/>
        </w:rPr>
        <w:t xml:space="preserve">Information Commissioner's Office (ICO), n.d. </w:t>
      </w:r>
      <w:r w:rsidRPr="00B46382">
        <w:rPr>
          <w:rStyle w:val="Emphasis"/>
          <w:rFonts w:cs="Arial"/>
          <w:szCs w:val="24"/>
        </w:rPr>
        <w:t>UK GDPR guidance and resources</w:t>
      </w:r>
      <w:r w:rsidRPr="00B46382">
        <w:rPr>
          <w:rFonts w:cs="Arial"/>
          <w:szCs w:val="24"/>
        </w:rPr>
        <w:t xml:space="preserve">. [online] Available at: </w:t>
      </w:r>
      <w:hyperlink r:id="rId32" w:tgtFrame="_new" w:history="1">
        <w:r w:rsidRPr="00B46382">
          <w:rPr>
            <w:rStyle w:val="Hyperlink"/>
            <w:rFonts w:cs="Arial"/>
            <w:szCs w:val="24"/>
          </w:rPr>
          <w:t>https://ico.org.uk/for-organisations/uk-gdpr-guidance-and-resources/</w:t>
        </w:r>
      </w:hyperlink>
      <w:r w:rsidRPr="00B46382">
        <w:rPr>
          <w:rFonts w:cs="Arial"/>
          <w:szCs w:val="24"/>
        </w:rPr>
        <w:t xml:space="preserve"> [Accessed 14 September 2024].</w:t>
      </w:r>
    </w:p>
    <w:p w14:paraId="62C461F7" w14:textId="37889225" w:rsidR="00931D44" w:rsidRPr="00B46382" w:rsidRDefault="00931D44" w:rsidP="00322068">
      <w:pPr>
        <w:rPr>
          <w:rFonts w:cs="Arial"/>
          <w:szCs w:val="24"/>
        </w:rPr>
      </w:pPr>
      <w:r w:rsidRPr="00B46382">
        <w:rPr>
          <w:rStyle w:val="Strong"/>
          <w:rFonts w:cs="Arial"/>
          <w:b w:val="0"/>
          <w:bCs w:val="0"/>
          <w:szCs w:val="24"/>
        </w:rPr>
        <w:t>Jackson, S., Ajayi, S. and Quigley, M.,</w:t>
      </w:r>
      <w:r w:rsidRPr="00B46382">
        <w:rPr>
          <w:rFonts w:cs="Arial"/>
          <w:szCs w:val="24"/>
        </w:rPr>
        <w:t xml:space="preserve"> 2005. </w:t>
      </w:r>
      <w:r w:rsidRPr="00B46382">
        <w:rPr>
          <w:rStyle w:val="Emphasis"/>
          <w:rFonts w:cs="Arial"/>
          <w:szCs w:val="24"/>
        </w:rPr>
        <w:t>By degrees: The first year – from care to university</w:t>
      </w:r>
      <w:r w:rsidRPr="00B46382">
        <w:rPr>
          <w:rFonts w:cs="Arial"/>
          <w:szCs w:val="24"/>
        </w:rPr>
        <w:t>. London: Institute of Education, University of London.</w:t>
      </w:r>
    </w:p>
    <w:p w14:paraId="5414C03D" w14:textId="5EE57272" w:rsidR="008D346A" w:rsidRPr="00B46382" w:rsidRDefault="008D346A" w:rsidP="00322068">
      <w:pPr>
        <w:rPr>
          <w:rFonts w:cs="Arial"/>
          <w:b/>
          <w:bCs/>
          <w:szCs w:val="24"/>
        </w:rPr>
      </w:pPr>
      <w:r w:rsidRPr="00B46382">
        <w:rPr>
          <w:rStyle w:val="Strong"/>
          <w:rFonts w:cs="Arial"/>
          <w:b w:val="0"/>
          <w:bCs w:val="0"/>
          <w:szCs w:val="24"/>
        </w:rPr>
        <w:t xml:space="preserve">Markus, H. and </w:t>
      </w:r>
      <w:proofErr w:type="spellStart"/>
      <w:r w:rsidRPr="00B46382">
        <w:rPr>
          <w:rStyle w:val="Strong"/>
          <w:rFonts w:cs="Arial"/>
          <w:b w:val="0"/>
          <w:bCs w:val="0"/>
          <w:szCs w:val="24"/>
        </w:rPr>
        <w:t>Nurius</w:t>
      </w:r>
      <w:proofErr w:type="spellEnd"/>
      <w:r w:rsidRPr="00B46382">
        <w:rPr>
          <w:rStyle w:val="Strong"/>
          <w:rFonts w:cs="Arial"/>
          <w:b w:val="0"/>
          <w:bCs w:val="0"/>
          <w:szCs w:val="24"/>
        </w:rPr>
        <w:t>, P</w:t>
      </w:r>
      <w:r w:rsidRPr="00B46382">
        <w:rPr>
          <w:rStyle w:val="Strong"/>
          <w:rFonts w:cs="Arial"/>
          <w:szCs w:val="24"/>
        </w:rPr>
        <w:t>.,</w:t>
      </w:r>
      <w:r w:rsidRPr="00B46382">
        <w:rPr>
          <w:rFonts w:cs="Arial"/>
          <w:szCs w:val="24"/>
        </w:rPr>
        <w:t xml:space="preserve"> 1986. Possible selves. </w:t>
      </w:r>
      <w:r w:rsidRPr="00B46382">
        <w:rPr>
          <w:rStyle w:val="Emphasis"/>
          <w:rFonts w:cs="Arial"/>
          <w:szCs w:val="24"/>
        </w:rPr>
        <w:t>American Psychologist</w:t>
      </w:r>
      <w:r w:rsidRPr="00B46382">
        <w:rPr>
          <w:rFonts w:cs="Arial"/>
          <w:szCs w:val="24"/>
        </w:rPr>
        <w:t>, 41, pp.954-969.</w:t>
      </w:r>
    </w:p>
    <w:p w14:paraId="6E190545" w14:textId="7728C801" w:rsidR="006834F5" w:rsidRPr="00B46382" w:rsidRDefault="006834F5" w:rsidP="00D60115">
      <w:pPr>
        <w:spacing w:after="0" w:line="240" w:lineRule="auto"/>
        <w:rPr>
          <w:rFonts w:cs="Arial"/>
          <w:b/>
          <w:bCs/>
          <w:szCs w:val="24"/>
        </w:rPr>
      </w:pPr>
      <w:proofErr w:type="spellStart"/>
      <w:r w:rsidRPr="00B46382">
        <w:rPr>
          <w:rStyle w:val="Strong"/>
          <w:rFonts w:cs="Arial"/>
          <w:b w:val="0"/>
          <w:bCs w:val="0"/>
          <w:szCs w:val="24"/>
        </w:rPr>
        <w:t>Moores</w:t>
      </w:r>
      <w:proofErr w:type="spellEnd"/>
      <w:r w:rsidRPr="00B46382">
        <w:rPr>
          <w:rStyle w:val="Strong"/>
          <w:rFonts w:cs="Arial"/>
          <w:b w:val="0"/>
          <w:bCs w:val="0"/>
          <w:szCs w:val="24"/>
        </w:rPr>
        <w:t>, E., &amp; Burgess, A. (2022). Financial support differentially aids retention of students from households with lower incomes: A UK case study</w:t>
      </w:r>
      <w:r w:rsidRPr="00B46382">
        <w:rPr>
          <w:rStyle w:val="Strong"/>
          <w:rFonts w:cs="Arial"/>
          <w:szCs w:val="24"/>
        </w:rPr>
        <w:t xml:space="preserve">. </w:t>
      </w:r>
      <w:r w:rsidRPr="00B46382">
        <w:rPr>
          <w:rStyle w:val="Emphasis"/>
          <w:rFonts w:cs="Arial"/>
          <w:szCs w:val="24"/>
        </w:rPr>
        <w:t>Studies in Higher Education, 48</w:t>
      </w:r>
      <w:r w:rsidRPr="00B46382">
        <w:rPr>
          <w:rStyle w:val="Strong"/>
          <w:rFonts w:cs="Arial"/>
          <w:szCs w:val="24"/>
        </w:rPr>
        <w:t>(1), 220-231.</w:t>
      </w:r>
      <w:r w:rsidRPr="00B46382">
        <w:rPr>
          <w:rFonts w:cs="Arial"/>
          <w:szCs w:val="24"/>
        </w:rPr>
        <w:t xml:space="preserve"> Available at: https://www.tandfonline.com/doi/full/10.1080/03075079.2022.2065542 (Accessed: 1/09/24).</w:t>
      </w:r>
    </w:p>
    <w:p w14:paraId="4240A4C5" w14:textId="77777777" w:rsidR="00D60115" w:rsidRPr="00B46382" w:rsidRDefault="00D60115" w:rsidP="00D60115">
      <w:pPr>
        <w:spacing w:after="0" w:line="240" w:lineRule="auto"/>
        <w:rPr>
          <w:rFonts w:cs="Arial"/>
          <w:szCs w:val="24"/>
        </w:rPr>
      </w:pPr>
    </w:p>
    <w:p w14:paraId="7D8431A5" w14:textId="4D435234" w:rsidR="00450EA6" w:rsidRPr="00B46382" w:rsidRDefault="00450EA6" w:rsidP="00462B1F">
      <w:pPr>
        <w:pStyle w:val="NormalWeb"/>
        <w:shd w:val="clear" w:color="auto" w:fill="FFFFFF"/>
        <w:spacing w:before="0" w:beforeAutospacing="0" w:after="300" w:afterAutospacing="0"/>
        <w:rPr>
          <w:rFonts w:ascii="Arial" w:hAnsi="Arial" w:cs="Arial"/>
        </w:rPr>
      </w:pPr>
      <w:r w:rsidRPr="00B46382">
        <w:rPr>
          <w:rFonts w:ascii="Arial" w:hAnsi="Arial" w:cs="Arial"/>
        </w:rPr>
        <w:t xml:space="preserve">National Audit Office (2019) </w:t>
      </w:r>
      <w:r w:rsidRPr="00B46382">
        <w:rPr>
          <w:rStyle w:val="Emphasis"/>
          <w:rFonts w:ascii="Arial" w:eastAsia="Arial" w:hAnsi="Arial" w:cs="Arial"/>
        </w:rPr>
        <w:t>Support for Disabled Students</w:t>
      </w:r>
      <w:r w:rsidRPr="00B46382">
        <w:rPr>
          <w:rFonts w:ascii="Arial" w:hAnsi="Arial" w:cs="Arial"/>
        </w:rPr>
        <w:t>. [online] Available at: https://www.nao.org.uk/report/support-for-disabled-students/ [Accessed 1 September 2024].</w:t>
      </w:r>
    </w:p>
    <w:p w14:paraId="75787934" w14:textId="4A749FCB" w:rsidR="00557D41" w:rsidRPr="00B46382" w:rsidRDefault="00557D41" w:rsidP="00557D41">
      <w:pPr>
        <w:rPr>
          <w:rFonts w:cs="Arial"/>
          <w:szCs w:val="24"/>
        </w:rPr>
      </w:pPr>
      <w:r w:rsidRPr="00B46382">
        <w:rPr>
          <w:rFonts w:cs="Arial"/>
          <w:szCs w:val="24"/>
        </w:rPr>
        <w:t xml:space="preserve">Office for National Statistics (ONS), 2021. </w:t>
      </w:r>
      <w:r w:rsidRPr="00B46382">
        <w:rPr>
          <w:rStyle w:val="Emphasis"/>
          <w:rFonts w:cs="Arial"/>
          <w:szCs w:val="24"/>
        </w:rPr>
        <w:t>Income, Deprivation and Quality of Life in England</w:t>
      </w:r>
      <w:r w:rsidRPr="00B46382">
        <w:rPr>
          <w:rFonts w:cs="Arial"/>
          <w:szCs w:val="24"/>
        </w:rPr>
        <w:t xml:space="preserve">. Office for National Statistics. Available at: </w:t>
      </w:r>
      <w:hyperlink r:id="rId33" w:tgtFrame="_new" w:history="1">
        <w:r w:rsidRPr="00B46382">
          <w:rPr>
            <w:rStyle w:val="Hyperlink"/>
            <w:rFonts w:cs="Arial"/>
            <w:szCs w:val="24"/>
          </w:rPr>
          <w:t>https://www.ons.gov.uk</w:t>
        </w:r>
      </w:hyperlink>
      <w:r w:rsidRPr="00B46382">
        <w:rPr>
          <w:rFonts w:cs="Arial"/>
          <w:szCs w:val="24"/>
        </w:rPr>
        <w:t xml:space="preserve"> [Accessed 10 November 2024].</w:t>
      </w:r>
    </w:p>
    <w:p w14:paraId="5200E3DE" w14:textId="349DACAE" w:rsidR="005B5DBD" w:rsidRPr="00B46382" w:rsidRDefault="005B5DBD" w:rsidP="00462B1F">
      <w:pPr>
        <w:pStyle w:val="NormalWeb"/>
        <w:shd w:val="clear" w:color="auto" w:fill="FFFFFF"/>
        <w:spacing w:before="0" w:beforeAutospacing="0" w:after="300" w:afterAutospacing="0"/>
        <w:rPr>
          <w:rFonts w:ascii="Arial" w:hAnsi="Arial" w:cs="Arial"/>
        </w:rPr>
      </w:pPr>
      <w:r w:rsidRPr="00B46382">
        <w:rPr>
          <w:rFonts w:ascii="Arial" w:hAnsi="Arial" w:cs="Arial"/>
        </w:rPr>
        <w:t xml:space="preserve">National Network for the Education of Care Leavers (NNECL) (2017) </w:t>
      </w:r>
      <w:r w:rsidRPr="00B46382">
        <w:rPr>
          <w:rStyle w:val="Emphasis"/>
          <w:rFonts w:ascii="Arial" w:eastAsia="Arial" w:hAnsi="Arial" w:cs="Arial"/>
        </w:rPr>
        <w:t>Moving on Up</w:t>
      </w:r>
      <w:r w:rsidRPr="00B46382">
        <w:rPr>
          <w:rFonts w:ascii="Arial" w:hAnsi="Arial" w:cs="Arial"/>
        </w:rPr>
        <w:t>. Higher Education Policy Institute (HEPI). Available at: [</w:t>
      </w:r>
      <w:hyperlink r:id="rId34" w:history="1">
        <w:r w:rsidR="00777D53" w:rsidRPr="00B46382">
          <w:rPr>
            <w:rStyle w:val="Hyperlink"/>
            <w:rFonts w:ascii="Arial" w:eastAsia="Arial" w:hAnsi="Arial" w:cs="Arial"/>
          </w:rPr>
          <w:t>NNECL 'Moving on Up' report | National Network for the Education of Care Leavers</w:t>
        </w:r>
      </w:hyperlink>
      <w:r w:rsidRPr="00B46382">
        <w:rPr>
          <w:rFonts w:ascii="Arial" w:hAnsi="Arial" w:cs="Arial"/>
        </w:rPr>
        <w:t>] (Accessed: 14 September 2024).</w:t>
      </w:r>
    </w:p>
    <w:p w14:paraId="09C4012C" w14:textId="54FEF82E" w:rsidR="005B5DBD" w:rsidRPr="00B46382" w:rsidRDefault="00DA1055" w:rsidP="00C01FB8">
      <w:pPr>
        <w:spacing w:after="0" w:line="240" w:lineRule="auto"/>
        <w:rPr>
          <w:rFonts w:cs="Arial"/>
          <w:szCs w:val="24"/>
        </w:rPr>
      </w:pPr>
      <w:r w:rsidRPr="00B46382">
        <w:rPr>
          <w:rFonts w:cs="Arial"/>
          <w:szCs w:val="24"/>
        </w:rPr>
        <w:lastRenderedPageBreak/>
        <w:t xml:space="preserve">National Union of Students (2012) </w:t>
      </w:r>
      <w:r w:rsidRPr="00B46382">
        <w:rPr>
          <w:rStyle w:val="Emphasis"/>
          <w:rFonts w:cs="Arial"/>
          <w:szCs w:val="24"/>
        </w:rPr>
        <w:t>The Pound in Your Pocket: Summary Report</w:t>
      </w:r>
      <w:r w:rsidRPr="00B46382">
        <w:rPr>
          <w:rFonts w:cs="Arial"/>
          <w:szCs w:val="24"/>
        </w:rPr>
        <w:t xml:space="preserve">. National Union of Students. Available at: </w:t>
      </w:r>
      <w:hyperlink r:id="rId35" w:tgtFrame="_new" w:history="1">
        <w:r w:rsidRPr="00B46382">
          <w:rPr>
            <w:rStyle w:val="Hyperlink"/>
            <w:rFonts w:cs="Arial"/>
            <w:szCs w:val="24"/>
          </w:rPr>
          <w:t>https://www.nus.org.uk/en/news/pound-in-your-pocket---research-into-student-financial-support/</w:t>
        </w:r>
      </w:hyperlink>
      <w:r w:rsidRPr="00B46382">
        <w:rPr>
          <w:rFonts w:cs="Arial"/>
          <w:szCs w:val="24"/>
        </w:rPr>
        <w:t xml:space="preserve"> (Accessed: 1 August 2024).</w:t>
      </w:r>
    </w:p>
    <w:p w14:paraId="229D0944" w14:textId="77777777" w:rsidR="004F7409" w:rsidRPr="00B46382" w:rsidRDefault="004F7409" w:rsidP="00C01FB8">
      <w:pPr>
        <w:spacing w:after="0" w:line="240" w:lineRule="auto"/>
        <w:rPr>
          <w:rFonts w:cs="Arial"/>
          <w:szCs w:val="24"/>
        </w:rPr>
      </w:pPr>
    </w:p>
    <w:p w14:paraId="689D149C" w14:textId="0C27106E" w:rsidR="00C13C7C" w:rsidRPr="00B46382" w:rsidRDefault="00C13C7C" w:rsidP="00C01FB8">
      <w:pPr>
        <w:spacing w:after="0" w:line="240" w:lineRule="auto"/>
        <w:rPr>
          <w:rFonts w:cs="Arial"/>
          <w:szCs w:val="24"/>
        </w:rPr>
      </w:pPr>
      <w:r w:rsidRPr="00B46382">
        <w:rPr>
          <w:rFonts w:cs="Arial"/>
          <w:szCs w:val="24"/>
        </w:rPr>
        <w:t>Office for Students (</w:t>
      </w:r>
      <w:proofErr w:type="spellStart"/>
      <w:r w:rsidRPr="00B46382">
        <w:rPr>
          <w:rFonts w:cs="Arial"/>
          <w:szCs w:val="24"/>
        </w:rPr>
        <w:t>OfS</w:t>
      </w:r>
      <w:proofErr w:type="spellEnd"/>
      <w:r w:rsidRPr="00B46382">
        <w:rPr>
          <w:rFonts w:cs="Arial"/>
          <w:szCs w:val="24"/>
        </w:rPr>
        <w:t xml:space="preserve">) (2023) </w:t>
      </w:r>
      <w:r w:rsidRPr="00B46382">
        <w:rPr>
          <w:rStyle w:val="Emphasis"/>
          <w:rFonts w:cs="Arial"/>
          <w:szCs w:val="24"/>
        </w:rPr>
        <w:t>Lifelong Learning Entitlement</w:t>
      </w:r>
      <w:r w:rsidRPr="00B46382">
        <w:rPr>
          <w:rFonts w:cs="Arial"/>
          <w:szCs w:val="24"/>
        </w:rPr>
        <w:t xml:space="preserve">. Available at: </w:t>
      </w:r>
      <w:hyperlink r:id="rId36" w:history="1">
        <w:r w:rsidR="004D5C3B" w:rsidRPr="00B46382">
          <w:rPr>
            <w:rStyle w:val="Hyperlink"/>
            <w:rFonts w:cs="Arial"/>
            <w:szCs w:val="24"/>
          </w:rPr>
          <w:t>Lifelong Learning Entitlement - Office for Students</w:t>
        </w:r>
      </w:hyperlink>
      <w:r w:rsidRPr="00B46382">
        <w:rPr>
          <w:rFonts w:cs="Arial"/>
          <w:szCs w:val="24"/>
        </w:rPr>
        <w:t xml:space="preserve"> (Accessed: 1</w:t>
      </w:r>
      <w:r w:rsidR="004D5C3B" w:rsidRPr="00B46382">
        <w:rPr>
          <w:rFonts w:cs="Arial"/>
          <w:szCs w:val="24"/>
        </w:rPr>
        <w:t>0</w:t>
      </w:r>
      <w:r w:rsidRPr="00B46382">
        <w:rPr>
          <w:rFonts w:cs="Arial"/>
          <w:szCs w:val="24"/>
        </w:rPr>
        <w:t xml:space="preserve"> </w:t>
      </w:r>
      <w:r w:rsidR="004D5C3B" w:rsidRPr="00B46382">
        <w:rPr>
          <w:rFonts w:cs="Arial"/>
          <w:szCs w:val="24"/>
        </w:rPr>
        <w:t xml:space="preserve">July </w:t>
      </w:r>
      <w:r w:rsidRPr="00B46382">
        <w:rPr>
          <w:rFonts w:cs="Arial"/>
          <w:szCs w:val="24"/>
        </w:rPr>
        <w:t>2024).</w:t>
      </w:r>
    </w:p>
    <w:p w14:paraId="18F65E6B" w14:textId="77777777" w:rsidR="00AA679B" w:rsidRPr="00B46382" w:rsidRDefault="00AA679B" w:rsidP="00C01FB8">
      <w:pPr>
        <w:spacing w:after="0" w:line="240" w:lineRule="auto"/>
        <w:rPr>
          <w:rFonts w:cs="Arial"/>
          <w:szCs w:val="24"/>
        </w:rPr>
      </w:pPr>
    </w:p>
    <w:p w14:paraId="584256C0" w14:textId="217FFA05" w:rsidR="00AA679B" w:rsidRPr="00B46382" w:rsidRDefault="00AA679B" w:rsidP="00C01FB8">
      <w:pPr>
        <w:spacing w:after="0" w:line="240" w:lineRule="auto"/>
        <w:rPr>
          <w:rFonts w:cs="Arial"/>
          <w:szCs w:val="24"/>
        </w:rPr>
      </w:pPr>
      <w:r w:rsidRPr="00B46382">
        <w:rPr>
          <w:rFonts w:cs="Arial"/>
          <w:szCs w:val="24"/>
        </w:rPr>
        <w:t>Office for Students (</w:t>
      </w:r>
      <w:proofErr w:type="spellStart"/>
      <w:r w:rsidRPr="00B46382">
        <w:rPr>
          <w:rFonts w:cs="Arial"/>
          <w:szCs w:val="24"/>
        </w:rPr>
        <w:t>OfS</w:t>
      </w:r>
      <w:proofErr w:type="spellEnd"/>
      <w:r w:rsidRPr="00B46382">
        <w:rPr>
          <w:rFonts w:cs="Arial"/>
          <w:szCs w:val="24"/>
        </w:rPr>
        <w:t xml:space="preserve">) (2019) </w:t>
      </w:r>
      <w:r w:rsidRPr="00B46382">
        <w:rPr>
          <w:rStyle w:val="Emphasis"/>
          <w:rFonts w:cs="Arial"/>
          <w:szCs w:val="24"/>
        </w:rPr>
        <w:t>Student satisfaction rises but universities should do more to improve feedback</w:t>
      </w:r>
      <w:r w:rsidRPr="00B46382">
        <w:rPr>
          <w:rFonts w:cs="Arial"/>
          <w:szCs w:val="24"/>
        </w:rPr>
        <w:t>. Available at: https://www.officeforstudents.org.uk/news-blog-and-events/press-and-media/student-satisfaction-rises-but-universities-should-do-more-to-improve-feedback/ (Accessed: 14 September 2024).</w:t>
      </w:r>
    </w:p>
    <w:p w14:paraId="57DDC526" w14:textId="77777777" w:rsidR="00E91537" w:rsidRPr="00B46382" w:rsidRDefault="00E91537" w:rsidP="00C01FB8">
      <w:pPr>
        <w:spacing w:after="0" w:line="240" w:lineRule="auto"/>
        <w:rPr>
          <w:rFonts w:cs="Arial"/>
          <w:szCs w:val="24"/>
        </w:rPr>
      </w:pPr>
    </w:p>
    <w:p w14:paraId="63FF0916" w14:textId="1C1BD1E4" w:rsidR="009C2BEB" w:rsidRPr="00B46382" w:rsidRDefault="00E91537" w:rsidP="00C01FB8">
      <w:pPr>
        <w:spacing w:after="0" w:line="240" w:lineRule="auto"/>
        <w:rPr>
          <w:rFonts w:cs="Arial"/>
          <w:szCs w:val="24"/>
        </w:rPr>
      </w:pPr>
      <w:r w:rsidRPr="00B46382">
        <w:rPr>
          <w:rFonts w:cs="Arial"/>
          <w:szCs w:val="24"/>
        </w:rPr>
        <w:t>Office for Students (</w:t>
      </w:r>
      <w:proofErr w:type="spellStart"/>
      <w:r w:rsidRPr="00B46382">
        <w:rPr>
          <w:rFonts w:cs="Arial"/>
          <w:szCs w:val="24"/>
        </w:rPr>
        <w:t>OfS</w:t>
      </w:r>
      <w:proofErr w:type="spellEnd"/>
      <w:r w:rsidRPr="00B46382">
        <w:rPr>
          <w:rFonts w:cs="Arial"/>
          <w:szCs w:val="24"/>
        </w:rPr>
        <w:t xml:space="preserve">) (n.d.) </w:t>
      </w:r>
      <w:r w:rsidRPr="00B46382">
        <w:rPr>
          <w:rStyle w:val="Emphasis"/>
          <w:rFonts w:cs="Arial"/>
          <w:szCs w:val="24"/>
        </w:rPr>
        <w:t>Access and Participation Standards of Evidence</w:t>
      </w:r>
      <w:r w:rsidRPr="00B46382">
        <w:rPr>
          <w:rFonts w:cs="Arial"/>
          <w:szCs w:val="24"/>
        </w:rPr>
        <w:t>. Available at: [</w:t>
      </w:r>
      <w:proofErr w:type="spellStart"/>
      <w:r w:rsidR="006651B9" w:rsidRPr="00B46382">
        <w:rPr>
          <w:rFonts w:cs="Arial"/>
          <w:szCs w:val="24"/>
        </w:rPr>
        <w:fldChar w:fldCharType="begin"/>
      </w:r>
      <w:r w:rsidR="006651B9" w:rsidRPr="00B46382">
        <w:rPr>
          <w:rFonts w:cs="Arial"/>
          <w:szCs w:val="24"/>
        </w:rPr>
        <w:instrText xml:space="preserve"> HYPERLINK "https://www.officeforstudents.org.uk/media/2923/access-and-participation-standards-of-evidence.pdf" </w:instrText>
      </w:r>
      <w:r w:rsidR="006651B9" w:rsidRPr="00B46382">
        <w:rPr>
          <w:rFonts w:cs="Arial"/>
          <w:szCs w:val="24"/>
        </w:rPr>
        <w:fldChar w:fldCharType="separate"/>
      </w:r>
      <w:r w:rsidRPr="00B46382">
        <w:rPr>
          <w:rStyle w:val="Hyperlink"/>
          <w:rFonts w:cs="Arial"/>
          <w:szCs w:val="24"/>
        </w:rPr>
        <w:t>OfS</w:t>
      </w:r>
      <w:proofErr w:type="spellEnd"/>
      <w:r w:rsidRPr="00B46382">
        <w:rPr>
          <w:rStyle w:val="Hyperlink"/>
          <w:rFonts w:cs="Arial"/>
          <w:szCs w:val="24"/>
        </w:rPr>
        <w:t xml:space="preserve"> Access and Participation Standards of Evidence</w:t>
      </w:r>
      <w:r w:rsidR="006651B9" w:rsidRPr="00B46382">
        <w:rPr>
          <w:rStyle w:val="Hyperlink"/>
          <w:rFonts w:cs="Arial"/>
          <w:szCs w:val="24"/>
        </w:rPr>
        <w:fldChar w:fldCharType="end"/>
      </w:r>
      <w:r w:rsidRPr="00B46382">
        <w:rPr>
          <w:rFonts w:cs="Arial"/>
          <w:szCs w:val="24"/>
        </w:rPr>
        <w:t>] (Accessed: 14 September 2024).</w:t>
      </w:r>
    </w:p>
    <w:p w14:paraId="34E8B3A5" w14:textId="77777777" w:rsidR="000D3921" w:rsidRPr="00B46382" w:rsidRDefault="000D3921" w:rsidP="00C01FB8">
      <w:pPr>
        <w:spacing w:after="0" w:line="240" w:lineRule="auto"/>
        <w:rPr>
          <w:rFonts w:cs="Arial"/>
          <w:szCs w:val="24"/>
        </w:rPr>
      </w:pPr>
    </w:p>
    <w:p w14:paraId="6E80406E" w14:textId="474A9382" w:rsidR="000D3921" w:rsidRPr="00B46382" w:rsidRDefault="000D3921" w:rsidP="00C01FB8">
      <w:pPr>
        <w:spacing w:after="0" w:line="240" w:lineRule="auto"/>
        <w:rPr>
          <w:rFonts w:cs="Arial"/>
          <w:szCs w:val="24"/>
        </w:rPr>
      </w:pPr>
      <w:r w:rsidRPr="00B46382">
        <w:rPr>
          <w:rStyle w:val="Strong"/>
          <w:rFonts w:cs="Arial"/>
          <w:b w:val="0"/>
          <w:bCs w:val="0"/>
          <w:szCs w:val="24"/>
        </w:rPr>
        <w:t>Office for Students (</w:t>
      </w:r>
      <w:proofErr w:type="spellStart"/>
      <w:r w:rsidRPr="00B46382">
        <w:rPr>
          <w:rStyle w:val="Strong"/>
          <w:rFonts w:cs="Arial"/>
          <w:b w:val="0"/>
          <w:bCs w:val="0"/>
          <w:szCs w:val="24"/>
        </w:rPr>
        <w:t>OfS</w:t>
      </w:r>
      <w:proofErr w:type="spellEnd"/>
      <w:r w:rsidRPr="00B46382">
        <w:rPr>
          <w:rStyle w:val="Strong"/>
          <w:rFonts w:cs="Arial"/>
          <w:b w:val="0"/>
          <w:bCs w:val="0"/>
          <w:szCs w:val="24"/>
        </w:rPr>
        <w:t>)</w:t>
      </w:r>
      <w:r w:rsidRPr="00B46382">
        <w:rPr>
          <w:rFonts w:cs="Arial"/>
          <w:b/>
          <w:bCs/>
          <w:szCs w:val="24"/>
        </w:rPr>
        <w:t>,</w:t>
      </w:r>
      <w:r w:rsidRPr="00B46382">
        <w:rPr>
          <w:rFonts w:cs="Arial"/>
          <w:szCs w:val="24"/>
        </w:rPr>
        <w:t xml:space="preserve"> 2021. </w:t>
      </w:r>
      <w:r w:rsidRPr="00B46382">
        <w:rPr>
          <w:rStyle w:val="Emphasis"/>
          <w:rFonts w:cs="Arial"/>
          <w:szCs w:val="24"/>
        </w:rPr>
        <w:t>Improving opportunity and choice for mature students</w:t>
      </w:r>
      <w:r w:rsidRPr="00B46382">
        <w:rPr>
          <w:rFonts w:cs="Arial"/>
          <w:szCs w:val="24"/>
        </w:rPr>
        <w:t xml:space="preserve">. [online] Available at: </w:t>
      </w:r>
      <w:hyperlink r:id="rId37" w:history="1">
        <w:r w:rsidRPr="00B46382">
          <w:rPr>
            <w:rStyle w:val="Hyperlink"/>
            <w:rFonts w:cs="Arial"/>
            <w:szCs w:val="24"/>
          </w:rPr>
          <w:t>https://www.officeforstudents.org.uk/publications/improving-opportunity-and-choice-for-mature-students/</w:t>
        </w:r>
      </w:hyperlink>
      <w:r w:rsidRPr="00B46382">
        <w:rPr>
          <w:rFonts w:cs="Arial"/>
          <w:szCs w:val="24"/>
        </w:rPr>
        <w:t xml:space="preserve"> [Accessed 14 September 2024].</w:t>
      </w:r>
    </w:p>
    <w:p w14:paraId="7BB44B67" w14:textId="77777777" w:rsidR="001B6DC2" w:rsidRPr="00B46382" w:rsidRDefault="001B6DC2" w:rsidP="00C01FB8">
      <w:pPr>
        <w:spacing w:after="0" w:line="240" w:lineRule="auto"/>
        <w:rPr>
          <w:rFonts w:cs="Arial"/>
          <w:szCs w:val="24"/>
        </w:rPr>
      </w:pPr>
    </w:p>
    <w:p w14:paraId="4F7CD697" w14:textId="77777777" w:rsidR="009C2BEB" w:rsidRPr="00B46382" w:rsidRDefault="009C2BEB" w:rsidP="00C01FB8">
      <w:pPr>
        <w:spacing w:after="0" w:line="240" w:lineRule="auto"/>
        <w:rPr>
          <w:rFonts w:cs="Arial"/>
          <w:szCs w:val="24"/>
        </w:rPr>
      </w:pPr>
    </w:p>
    <w:p w14:paraId="2F2A38FC" w14:textId="48A0D124" w:rsidR="004F7409" w:rsidRPr="00B46382" w:rsidRDefault="004F7409" w:rsidP="00C01FB8">
      <w:pPr>
        <w:spacing w:after="0" w:line="240" w:lineRule="auto"/>
        <w:rPr>
          <w:rFonts w:cs="Arial"/>
          <w:szCs w:val="24"/>
        </w:rPr>
      </w:pPr>
      <w:r w:rsidRPr="00B46382">
        <w:rPr>
          <w:rFonts w:cs="Arial"/>
          <w:szCs w:val="24"/>
        </w:rPr>
        <w:t>Office for Students (</w:t>
      </w:r>
      <w:proofErr w:type="spellStart"/>
      <w:r w:rsidRPr="00B46382">
        <w:rPr>
          <w:rFonts w:cs="Arial"/>
          <w:szCs w:val="24"/>
        </w:rPr>
        <w:t>OfS</w:t>
      </w:r>
      <w:proofErr w:type="spellEnd"/>
      <w:r w:rsidRPr="00B46382">
        <w:rPr>
          <w:rFonts w:cs="Arial"/>
          <w:szCs w:val="24"/>
        </w:rPr>
        <w:t xml:space="preserve">) (n.d.) </w:t>
      </w:r>
      <w:r w:rsidRPr="00B46382">
        <w:rPr>
          <w:rStyle w:val="Emphasis"/>
          <w:rFonts w:cs="Arial"/>
          <w:szCs w:val="24"/>
        </w:rPr>
        <w:t>Evaluation Toolkit</w:t>
      </w:r>
      <w:r w:rsidRPr="00B46382">
        <w:rPr>
          <w:rFonts w:cs="Arial"/>
          <w:szCs w:val="24"/>
        </w:rPr>
        <w:t xml:space="preserve">. Available at: </w:t>
      </w:r>
      <w:hyperlink r:id="rId38" w:history="1">
        <w:r w:rsidR="00F569E4" w:rsidRPr="00B46382">
          <w:rPr>
            <w:rStyle w:val="Hyperlink"/>
            <w:rFonts w:cs="Arial"/>
            <w:szCs w:val="24"/>
          </w:rPr>
          <w:t xml:space="preserve">Evaluation </w:t>
        </w:r>
        <w:proofErr w:type="spellStart"/>
        <w:r w:rsidR="00F569E4" w:rsidRPr="00B46382">
          <w:rPr>
            <w:rStyle w:val="Hyperlink"/>
            <w:rFonts w:cs="Arial"/>
            <w:szCs w:val="24"/>
          </w:rPr>
          <w:t>Tookit</w:t>
        </w:r>
        <w:proofErr w:type="spellEnd"/>
        <w:r w:rsidR="00F569E4" w:rsidRPr="00B46382">
          <w:rPr>
            <w:rStyle w:val="Hyperlink"/>
            <w:rFonts w:cs="Arial"/>
            <w:szCs w:val="24"/>
          </w:rPr>
          <w:t xml:space="preserve"> (officeforstudents.org.uk)</w:t>
        </w:r>
      </w:hyperlink>
      <w:r w:rsidR="00F569E4" w:rsidRPr="00B46382">
        <w:rPr>
          <w:rFonts w:cs="Arial"/>
          <w:szCs w:val="24"/>
        </w:rPr>
        <w:t xml:space="preserve"> </w:t>
      </w:r>
      <w:r w:rsidRPr="00B46382">
        <w:rPr>
          <w:rFonts w:cs="Arial"/>
          <w:szCs w:val="24"/>
        </w:rPr>
        <w:t xml:space="preserve">(Accessed: 14 </w:t>
      </w:r>
      <w:r w:rsidR="00F569E4" w:rsidRPr="00B46382">
        <w:rPr>
          <w:rFonts w:cs="Arial"/>
          <w:szCs w:val="24"/>
        </w:rPr>
        <w:t>August</w:t>
      </w:r>
      <w:r w:rsidRPr="00B46382">
        <w:rPr>
          <w:rFonts w:cs="Arial"/>
          <w:szCs w:val="24"/>
        </w:rPr>
        <w:t xml:space="preserve"> 2024).</w:t>
      </w:r>
    </w:p>
    <w:p w14:paraId="21397CB4" w14:textId="77777777" w:rsidR="002D51AE" w:rsidRPr="00B46382" w:rsidRDefault="002D51AE" w:rsidP="00C01FB8">
      <w:pPr>
        <w:spacing w:after="0" w:line="240" w:lineRule="auto"/>
        <w:rPr>
          <w:rFonts w:cs="Arial"/>
          <w:szCs w:val="24"/>
        </w:rPr>
      </w:pPr>
    </w:p>
    <w:p w14:paraId="4CA57721" w14:textId="77777777" w:rsidR="002D51AE" w:rsidRPr="00B46382" w:rsidRDefault="002D51AE" w:rsidP="002D51AE">
      <w:pPr>
        <w:pStyle w:val="NormalWeb"/>
        <w:shd w:val="clear" w:color="auto" w:fill="FFFFFF"/>
        <w:spacing w:before="0" w:beforeAutospacing="0" w:after="300" w:afterAutospacing="0"/>
        <w:rPr>
          <w:rFonts w:ascii="Arial" w:hAnsi="Arial" w:cs="Arial"/>
        </w:rPr>
      </w:pPr>
      <w:r w:rsidRPr="00B46382">
        <w:rPr>
          <w:rFonts w:ascii="Arial" w:hAnsi="Arial" w:cs="Arial"/>
        </w:rPr>
        <w:t xml:space="preserve">Office for Students (n.d.) </w:t>
      </w:r>
      <w:r w:rsidRPr="00B46382">
        <w:rPr>
          <w:rStyle w:val="Emphasis"/>
          <w:rFonts w:ascii="Arial" w:eastAsia="Arial" w:hAnsi="Arial" w:cs="Arial"/>
        </w:rPr>
        <w:t>Equality of Opportunity Risk Register</w:t>
      </w:r>
      <w:r w:rsidRPr="00B46382">
        <w:rPr>
          <w:rFonts w:ascii="Arial" w:hAnsi="Arial" w:cs="Arial"/>
        </w:rPr>
        <w:t xml:space="preserve">. Available at: </w:t>
      </w:r>
      <w:hyperlink r:id="rId39" w:tgtFrame="_new" w:history="1">
        <w:r w:rsidRPr="00B46382">
          <w:rPr>
            <w:rStyle w:val="Hyperlink"/>
            <w:rFonts w:ascii="Arial" w:hAnsi="Arial" w:cs="Arial"/>
          </w:rPr>
          <w:t>https://www.officeforstudents.org.uk/for-providers/equality-of-opportunity/equality-of-opportunity-risk-register/</w:t>
        </w:r>
      </w:hyperlink>
      <w:r w:rsidRPr="00B46382">
        <w:rPr>
          <w:rFonts w:ascii="Arial" w:hAnsi="Arial" w:cs="Arial"/>
        </w:rPr>
        <w:t xml:space="preserve"> (Accessed: 9/1/24).</w:t>
      </w:r>
    </w:p>
    <w:p w14:paraId="70730DC7" w14:textId="47B08999" w:rsidR="004F7409" w:rsidRPr="00B46382" w:rsidRDefault="002D51AE" w:rsidP="00DD0B99">
      <w:pPr>
        <w:pStyle w:val="NormalWeb"/>
        <w:shd w:val="clear" w:color="auto" w:fill="FFFFFF"/>
        <w:spacing w:before="0" w:beforeAutospacing="0" w:after="300" w:afterAutospacing="0"/>
        <w:rPr>
          <w:rFonts w:ascii="Arial" w:hAnsi="Arial" w:cs="Arial"/>
        </w:rPr>
      </w:pPr>
      <w:r w:rsidRPr="00B46382">
        <w:rPr>
          <w:rFonts w:ascii="Arial" w:hAnsi="Arial" w:cs="Arial"/>
        </w:rPr>
        <w:t xml:space="preserve">Office for Students (n.d.) </w:t>
      </w:r>
      <w:r w:rsidRPr="00B46382">
        <w:rPr>
          <w:rStyle w:val="Emphasis"/>
          <w:rFonts w:ascii="Arial" w:eastAsia="Arial" w:hAnsi="Arial" w:cs="Arial"/>
        </w:rPr>
        <w:t>Access and participation data dashboard</w:t>
      </w:r>
      <w:r w:rsidRPr="00B46382">
        <w:rPr>
          <w:rFonts w:ascii="Arial" w:hAnsi="Arial" w:cs="Arial"/>
        </w:rPr>
        <w:t xml:space="preserve">. Available at: </w:t>
      </w:r>
      <w:hyperlink r:id="rId40" w:tgtFrame="_new" w:history="1">
        <w:r w:rsidRPr="00B46382">
          <w:rPr>
            <w:rStyle w:val="Hyperlink"/>
            <w:rFonts w:ascii="Arial" w:hAnsi="Arial" w:cs="Arial"/>
          </w:rPr>
          <w:t>https://www.officeforstudents.org.uk/data-and-analysis/access-and-participation-data-dashboard/data-dashboard/</w:t>
        </w:r>
      </w:hyperlink>
      <w:r w:rsidRPr="00B46382">
        <w:rPr>
          <w:rFonts w:ascii="Arial" w:hAnsi="Arial" w:cs="Arial"/>
        </w:rPr>
        <w:t xml:space="preserve"> (Accessed: 24/6/24).</w:t>
      </w:r>
    </w:p>
    <w:p w14:paraId="62CB3F21" w14:textId="2C300A3B" w:rsidR="00C957B0" w:rsidRPr="00B46382" w:rsidRDefault="00C957B0" w:rsidP="00C01FB8">
      <w:pPr>
        <w:spacing w:after="0" w:line="240" w:lineRule="auto"/>
        <w:rPr>
          <w:rFonts w:cs="Arial"/>
          <w:szCs w:val="24"/>
        </w:rPr>
      </w:pPr>
      <w:proofErr w:type="spellStart"/>
      <w:r w:rsidRPr="00B46382">
        <w:rPr>
          <w:rFonts w:cs="Arial"/>
          <w:szCs w:val="24"/>
        </w:rPr>
        <w:t>OfS</w:t>
      </w:r>
      <w:proofErr w:type="spellEnd"/>
      <w:r w:rsidRPr="00B46382">
        <w:rPr>
          <w:rFonts w:cs="Arial"/>
          <w:szCs w:val="24"/>
        </w:rPr>
        <w:t xml:space="preserve"> (2019) Addressing Barriers to Student Success (ABSS) programme. Available at: Addressing Barriers to Student Success programme - Office for Students. (Accessed 18/04/24)</w:t>
      </w:r>
    </w:p>
    <w:p w14:paraId="0D4C87AE" w14:textId="77777777" w:rsidR="007F7427" w:rsidRPr="00B46382" w:rsidRDefault="007F7427" w:rsidP="00C01FB8">
      <w:pPr>
        <w:spacing w:after="0" w:line="240" w:lineRule="auto"/>
        <w:rPr>
          <w:rFonts w:cs="Arial"/>
          <w:szCs w:val="24"/>
        </w:rPr>
      </w:pPr>
    </w:p>
    <w:p w14:paraId="38370EA6" w14:textId="01F76D48" w:rsidR="007F7427" w:rsidRPr="00B46382" w:rsidRDefault="007F7427" w:rsidP="00C01FB8">
      <w:pPr>
        <w:spacing w:after="0" w:line="240" w:lineRule="auto"/>
        <w:rPr>
          <w:rFonts w:cs="Arial"/>
          <w:szCs w:val="24"/>
        </w:rPr>
      </w:pPr>
      <w:r w:rsidRPr="00B46382">
        <w:rPr>
          <w:rFonts w:cs="Arial"/>
          <w:szCs w:val="24"/>
        </w:rPr>
        <w:t>Office for Students (</w:t>
      </w:r>
      <w:proofErr w:type="spellStart"/>
      <w:r w:rsidRPr="00B46382">
        <w:rPr>
          <w:rFonts w:cs="Arial"/>
          <w:szCs w:val="24"/>
        </w:rPr>
        <w:t>OfS</w:t>
      </w:r>
      <w:proofErr w:type="spellEnd"/>
      <w:r w:rsidRPr="00B46382">
        <w:rPr>
          <w:rFonts w:cs="Arial"/>
          <w:szCs w:val="24"/>
        </w:rPr>
        <w:t xml:space="preserve">) (n.d.) </w:t>
      </w:r>
      <w:r w:rsidRPr="00B46382">
        <w:rPr>
          <w:rStyle w:val="Emphasis"/>
          <w:rFonts w:cs="Arial"/>
          <w:szCs w:val="24"/>
        </w:rPr>
        <w:t>Students from disadvantaged backgrounds less likely to complete their course</w:t>
      </w:r>
      <w:r w:rsidRPr="00B46382">
        <w:rPr>
          <w:rFonts w:cs="Arial"/>
          <w:szCs w:val="24"/>
        </w:rPr>
        <w:t>. Available at: [</w:t>
      </w:r>
      <w:hyperlink r:id="rId41" w:history="1">
        <w:r w:rsidR="004831C5" w:rsidRPr="00B46382">
          <w:rPr>
            <w:rStyle w:val="Hyperlink"/>
            <w:rFonts w:cs="Arial"/>
            <w:szCs w:val="24"/>
          </w:rPr>
          <w:t>Students from disadvantaged backgrounds less likely to complete their course - Office for Students</w:t>
        </w:r>
      </w:hyperlink>
      <w:r w:rsidRPr="00B46382">
        <w:rPr>
          <w:rFonts w:cs="Arial"/>
          <w:szCs w:val="24"/>
        </w:rPr>
        <w:t>] (Accessed: 14 September 2024).</w:t>
      </w:r>
    </w:p>
    <w:p w14:paraId="645CCC4C" w14:textId="77777777" w:rsidR="008D346A" w:rsidRPr="00B46382" w:rsidRDefault="008D346A" w:rsidP="00C01FB8">
      <w:pPr>
        <w:spacing w:after="0" w:line="240" w:lineRule="auto"/>
        <w:rPr>
          <w:rFonts w:cs="Arial"/>
          <w:szCs w:val="24"/>
        </w:rPr>
      </w:pPr>
    </w:p>
    <w:p w14:paraId="3031ADFF" w14:textId="77777777" w:rsidR="008D346A" w:rsidRPr="00B46382" w:rsidRDefault="008D346A" w:rsidP="008D346A">
      <w:pPr>
        <w:rPr>
          <w:rFonts w:cs="Arial"/>
          <w:szCs w:val="24"/>
        </w:rPr>
      </w:pPr>
      <w:proofErr w:type="spellStart"/>
      <w:r w:rsidRPr="00B46382">
        <w:rPr>
          <w:rFonts w:cs="Arial"/>
          <w:szCs w:val="24"/>
        </w:rPr>
        <w:t>Perna</w:t>
      </w:r>
      <w:proofErr w:type="spellEnd"/>
      <w:r w:rsidRPr="00B46382">
        <w:rPr>
          <w:rFonts w:cs="Arial"/>
          <w:szCs w:val="24"/>
        </w:rPr>
        <w:t xml:space="preserve">, L.W. and Titus, M.A., 2005. </w:t>
      </w:r>
      <w:r w:rsidRPr="00B46382">
        <w:rPr>
          <w:rStyle w:val="Emphasis"/>
          <w:rFonts w:cs="Arial"/>
          <w:szCs w:val="24"/>
        </w:rPr>
        <w:t xml:space="preserve">The relationship between parental involvement as social capital and college </w:t>
      </w:r>
      <w:proofErr w:type="spellStart"/>
      <w:r w:rsidRPr="00B46382">
        <w:rPr>
          <w:rStyle w:val="Emphasis"/>
          <w:rFonts w:cs="Arial"/>
          <w:szCs w:val="24"/>
        </w:rPr>
        <w:t>enrollment</w:t>
      </w:r>
      <w:proofErr w:type="spellEnd"/>
      <w:r w:rsidRPr="00B46382">
        <w:rPr>
          <w:rStyle w:val="Emphasis"/>
          <w:rFonts w:cs="Arial"/>
          <w:szCs w:val="24"/>
        </w:rPr>
        <w:t>: An examination of racial/ethnic group differences</w:t>
      </w:r>
      <w:r w:rsidRPr="00B46382">
        <w:rPr>
          <w:rFonts w:cs="Arial"/>
          <w:szCs w:val="24"/>
        </w:rPr>
        <w:t>. The Journal of Higher Education, 76(5), pp.485-518.</w:t>
      </w:r>
    </w:p>
    <w:p w14:paraId="630C146D" w14:textId="77777777" w:rsidR="00462B1F" w:rsidRPr="00B46382" w:rsidRDefault="00462B1F" w:rsidP="00C01FB8">
      <w:pPr>
        <w:spacing w:after="0" w:line="240" w:lineRule="auto"/>
        <w:rPr>
          <w:rFonts w:cs="Arial"/>
          <w:szCs w:val="24"/>
        </w:rPr>
      </w:pPr>
    </w:p>
    <w:p w14:paraId="1DE02510" w14:textId="6092CB79" w:rsidR="008D346A" w:rsidRPr="00B46382" w:rsidRDefault="008D346A" w:rsidP="00462B1F">
      <w:pPr>
        <w:rPr>
          <w:rFonts w:cs="Arial"/>
          <w:color w:val="000000" w:themeColor="text1"/>
          <w:szCs w:val="24"/>
        </w:rPr>
      </w:pPr>
      <w:r w:rsidRPr="00B46382">
        <w:rPr>
          <w:rFonts w:cs="Arial"/>
          <w:color w:val="000000" w:themeColor="text1"/>
          <w:szCs w:val="24"/>
        </w:rPr>
        <w:t xml:space="preserve">Porter, S.R. &amp; Whitcomb, M.E., 2005. </w:t>
      </w:r>
      <w:r w:rsidRPr="00B46382">
        <w:rPr>
          <w:rStyle w:val="Emphasis"/>
          <w:rFonts w:cs="Arial"/>
          <w:color w:val="000000" w:themeColor="text1"/>
          <w:szCs w:val="24"/>
        </w:rPr>
        <w:t>Non-response in student surveys: The role of demographics, engagement, and time</w:t>
      </w:r>
      <w:r w:rsidRPr="00B46382">
        <w:rPr>
          <w:rFonts w:cs="Arial"/>
          <w:color w:val="000000" w:themeColor="text1"/>
          <w:szCs w:val="24"/>
        </w:rPr>
        <w:t>. Research in Higher Education, 46(2), pp.127-152.</w:t>
      </w:r>
    </w:p>
    <w:p w14:paraId="3F302596" w14:textId="551BCBB0" w:rsidR="00DA1055" w:rsidRPr="00B46382" w:rsidRDefault="0066442E" w:rsidP="00C01FB8">
      <w:pPr>
        <w:spacing w:after="0" w:line="240" w:lineRule="auto"/>
        <w:rPr>
          <w:rFonts w:eastAsia="Times New Roman" w:cs="Arial"/>
          <w:szCs w:val="24"/>
          <w:lang w:eastAsia="en-GB"/>
        </w:rPr>
      </w:pPr>
      <w:r w:rsidRPr="00B46382">
        <w:rPr>
          <w:rFonts w:cs="Arial"/>
          <w:szCs w:val="24"/>
        </w:rPr>
        <w:lastRenderedPageBreak/>
        <w:t xml:space="preserve">Stern, N., 2012. </w:t>
      </w:r>
      <w:r w:rsidRPr="00B46382">
        <w:rPr>
          <w:rStyle w:val="Emphasis"/>
          <w:rFonts w:cs="Arial"/>
          <w:szCs w:val="24"/>
        </w:rPr>
        <w:t>Understanding the impact of interventions to address inequality in the student experience</w:t>
      </w:r>
      <w:r w:rsidRPr="00B46382">
        <w:rPr>
          <w:rFonts w:cs="Arial"/>
          <w:szCs w:val="24"/>
        </w:rPr>
        <w:t xml:space="preserve">. [online] Available </w:t>
      </w:r>
      <w:r w:rsidR="00FC0FEC" w:rsidRPr="00B46382">
        <w:rPr>
          <w:rFonts w:cs="Arial"/>
          <w:szCs w:val="24"/>
        </w:rPr>
        <w:t xml:space="preserve">at: </w:t>
      </w:r>
      <w:hyperlink r:id="rId42" w:history="1">
        <w:r w:rsidR="00FC0FEC" w:rsidRPr="00B46382">
          <w:rPr>
            <w:rStyle w:val="Hyperlink"/>
            <w:rFonts w:eastAsia="Arial" w:cs="Arial"/>
            <w:szCs w:val="24"/>
          </w:rPr>
          <w:t>Understanding the impact of interventions to address inequality in the student experience (pcdn.co)</w:t>
        </w:r>
      </w:hyperlink>
      <w:r w:rsidR="00FC0FEC" w:rsidRPr="00B46382">
        <w:rPr>
          <w:rFonts w:cs="Arial"/>
          <w:szCs w:val="24"/>
        </w:rPr>
        <w:t xml:space="preserve"> </w:t>
      </w:r>
      <w:r w:rsidRPr="00B46382">
        <w:rPr>
          <w:rFonts w:cs="Arial"/>
          <w:szCs w:val="24"/>
        </w:rPr>
        <w:t>[Accessed 14 September 2024].</w:t>
      </w:r>
    </w:p>
    <w:p w14:paraId="6D303535" w14:textId="77777777" w:rsidR="0066442E" w:rsidRPr="00B46382" w:rsidRDefault="0066442E" w:rsidP="00C01FB8">
      <w:pPr>
        <w:spacing w:after="0" w:line="240" w:lineRule="auto"/>
        <w:rPr>
          <w:rFonts w:eastAsia="Times New Roman" w:cs="Arial"/>
          <w:szCs w:val="24"/>
          <w:lang w:eastAsia="en-GB"/>
        </w:rPr>
      </w:pPr>
    </w:p>
    <w:p w14:paraId="3001E05F" w14:textId="12FF4FA7" w:rsidR="00D60115" w:rsidRPr="00B46382" w:rsidRDefault="00C63B6D" w:rsidP="00C63B6D">
      <w:pPr>
        <w:rPr>
          <w:rFonts w:cs="Arial"/>
          <w:szCs w:val="24"/>
        </w:rPr>
      </w:pPr>
      <w:r w:rsidRPr="00B46382">
        <w:rPr>
          <w:rStyle w:val="Strong"/>
          <w:rFonts w:cs="Arial"/>
          <w:b w:val="0"/>
          <w:bCs w:val="0"/>
          <w:szCs w:val="24"/>
        </w:rPr>
        <w:t xml:space="preserve">Sullivan, A., </w:t>
      </w:r>
      <w:proofErr w:type="spellStart"/>
      <w:r w:rsidRPr="00B46382">
        <w:rPr>
          <w:rStyle w:val="Strong"/>
          <w:rFonts w:cs="Arial"/>
          <w:b w:val="0"/>
          <w:bCs w:val="0"/>
          <w:szCs w:val="24"/>
        </w:rPr>
        <w:t>Ketende</w:t>
      </w:r>
      <w:proofErr w:type="spellEnd"/>
      <w:r w:rsidRPr="00B46382">
        <w:rPr>
          <w:rStyle w:val="Strong"/>
          <w:rFonts w:cs="Arial"/>
          <w:b w:val="0"/>
          <w:bCs w:val="0"/>
          <w:szCs w:val="24"/>
        </w:rPr>
        <w:t xml:space="preserve">, S., &amp; Joshi, H. (2013). </w:t>
      </w:r>
      <w:r w:rsidRPr="00B46382">
        <w:rPr>
          <w:rStyle w:val="Emphasis"/>
          <w:rFonts w:cs="Arial"/>
          <w:szCs w:val="24"/>
        </w:rPr>
        <w:t>Social Class and Inequalities in Early Cognitive Scores</w:t>
      </w:r>
      <w:r w:rsidRPr="00B46382">
        <w:rPr>
          <w:rStyle w:val="Strong"/>
          <w:rFonts w:cs="Arial"/>
          <w:b w:val="0"/>
          <w:bCs w:val="0"/>
          <w:szCs w:val="24"/>
        </w:rPr>
        <w:t>. UCL Institute of Education.</w:t>
      </w:r>
      <w:r w:rsidRPr="00B46382">
        <w:rPr>
          <w:rFonts w:cs="Arial"/>
          <w:szCs w:val="24"/>
        </w:rPr>
        <w:t xml:space="preserve"> Available at: https://www.ucl.ac.uk/ioe (Accessed: 1/09/24).</w:t>
      </w:r>
    </w:p>
    <w:p w14:paraId="76174F57" w14:textId="01276CBE" w:rsidR="00AF6543" w:rsidRPr="00B46382" w:rsidRDefault="00AF6543" w:rsidP="00C63B6D">
      <w:pPr>
        <w:rPr>
          <w:rFonts w:cs="Arial"/>
          <w:szCs w:val="24"/>
        </w:rPr>
      </w:pPr>
      <w:r w:rsidRPr="00B46382">
        <w:rPr>
          <w:rStyle w:val="Strong"/>
          <w:rFonts w:cs="Arial"/>
          <w:b w:val="0"/>
          <w:bCs w:val="0"/>
          <w:szCs w:val="24"/>
        </w:rPr>
        <w:t>Sutton Trust</w:t>
      </w:r>
      <w:r w:rsidRPr="00B46382">
        <w:rPr>
          <w:rFonts w:cs="Arial"/>
          <w:szCs w:val="24"/>
        </w:rPr>
        <w:t xml:space="preserve">, </w:t>
      </w:r>
      <w:r w:rsidR="00E87AF4" w:rsidRPr="00B46382">
        <w:rPr>
          <w:rFonts w:cs="Arial"/>
          <w:szCs w:val="24"/>
        </w:rPr>
        <w:t>(</w:t>
      </w:r>
      <w:r w:rsidRPr="00B46382">
        <w:rPr>
          <w:rFonts w:cs="Arial"/>
          <w:szCs w:val="24"/>
        </w:rPr>
        <w:t>2023</w:t>
      </w:r>
      <w:r w:rsidR="00E87AF4" w:rsidRPr="00B46382">
        <w:rPr>
          <w:rFonts w:cs="Arial"/>
          <w:szCs w:val="24"/>
        </w:rPr>
        <w:t>)</w:t>
      </w:r>
      <w:r w:rsidRPr="00B46382">
        <w:rPr>
          <w:rFonts w:cs="Arial"/>
          <w:szCs w:val="24"/>
        </w:rPr>
        <w:t xml:space="preserve">. </w:t>
      </w:r>
      <w:r w:rsidRPr="00B46382">
        <w:rPr>
          <w:rStyle w:val="Emphasis"/>
          <w:rFonts w:cs="Arial"/>
          <w:szCs w:val="24"/>
        </w:rPr>
        <w:t>Social Mobility: The Next Generation's Lost Potential at Age 16</w:t>
      </w:r>
      <w:r w:rsidRPr="00B46382">
        <w:rPr>
          <w:rFonts w:cs="Arial"/>
          <w:szCs w:val="24"/>
        </w:rPr>
        <w:t xml:space="preserve">. [pdf] Available at: </w:t>
      </w:r>
      <w:hyperlink r:id="rId43" w:history="1">
        <w:r w:rsidR="00863DED" w:rsidRPr="00B46382">
          <w:rPr>
            <w:rStyle w:val="Hyperlink"/>
            <w:rFonts w:cs="Arial"/>
            <w:szCs w:val="24"/>
          </w:rPr>
          <w:t>Social Mobility: The Next Generation - Lost potential at age 16 - Sutton Trust</w:t>
        </w:r>
      </w:hyperlink>
      <w:r w:rsidR="00863DED" w:rsidRPr="00B46382">
        <w:rPr>
          <w:rFonts w:cs="Arial"/>
          <w:szCs w:val="24"/>
        </w:rPr>
        <w:t xml:space="preserve"> </w:t>
      </w:r>
      <w:r w:rsidRPr="00B46382">
        <w:rPr>
          <w:rFonts w:cs="Arial"/>
          <w:szCs w:val="24"/>
        </w:rPr>
        <w:t>[Accessed 1</w:t>
      </w:r>
      <w:r w:rsidR="00E87AF4" w:rsidRPr="00B46382">
        <w:rPr>
          <w:rFonts w:cs="Arial"/>
          <w:szCs w:val="24"/>
        </w:rPr>
        <w:t xml:space="preserve"> May</w:t>
      </w:r>
      <w:r w:rsidRPr="00B46382">
        <w:rPr>
          <w:rFonts w:cs="Arial"/>
          <w:szCs w:val="24"/>
        </w:rPr>
        <w:t xml:space="preserve"> 2024].</w:t>
      </w:r>
    </w:p>
    <w:p w14:paraId="3BA5716B" w14:textId="2700C32B" w:rsidR="00D60115" w:rsidRPr="00B46382" w:rsidRDefault="00D60115" w:rsidP="00D60115">
      <w:pPr>
        <w:spacing w:after="0" w:line="240" w:lineRule="auto"/>
        <w:rPr>
          <w:rFonts w:cs="Arial"/>
          <w:szCs w:val="24"/>
        </w:rPr>
      </w:pPr>
      <w:r w:rsidRPr="00B46382">
        <w:rPr>
          <w:rStyle w:val="Strong"/>
          <w:rFonts w:cs="Arial"/>
          <w:b w:val="0"/>
          <w:bCs w:val="0"/>
          <w:szCs w:val="24"/>
        </w:rPr>
        <w:t xml:space="preserve">Sutton Trust. (2019). </w:t>
      </w:r>
      <w:r w:rsidRPr="00B46382">
        <w:rPr>
          <w:rStyle w:val="Emphasis"/>
          <w:rFonts w:cs="Arial"/>
          <w:szCs w:val="24"/>
        </w:rPr>
        <w:t>Potential for Success: Fulfilling the promise of highly able students in secondary schools</w:t>
      </w:r>
      <w:r w:rsidRPr="00B46382">
        <w:rPr>
          <w:rStyle w:val="Strong"/>
          <w:rFonts w:cs="Arial"/>
          <w:b w:val="0"/>
          <w:bCs w:val="0"/>
          <w:szCs w:val="24"/>
        </w:rPr>
        <w:t>. Sutton Trust.</w:t>
      </w:r>
      <w:r w:rsidRPr="00B46382">
        <w:rPr>
          <w:rFonts w:cs="Arial"/>
          <w:szCs w:val="24"/>
        </w:rPr>
        <w:t xml:space="preserve"> Available at: </w:t>
      </w:r>
      <w:hyperlink r:id="rId44" w:history="1">
        <w:r w:rsidRPr="00B46382">
          <w:rPr>
            <w:rStyle w:val="Hyperlink"/>
            <w:rFonts w:cs="Arial"/>
            <w:szCs w:val="24"/>
          </w:rPr>
          <w:t>https://www.suttontrust.com/wp-content/uploads/2019/12/PotentialForSuccess.pdf</w:t>
        </w:r>
      </w:hyperlink>
      <w:r w:rsidRPr="00B46382">
        <w:rPr>
          <w:rFonts w:cs="Arial"/>
          <w:szCs w:val="24"/>
        </w:rPr>
        <w:t xml:space="preserve"> (Accessed: 1/09/24).</w:t>
      </w:r>
    </w:p>
    <w:p w14:paraId="2A312D59" w14:textId="77777777" w:rsidR="00D60115" w:rsidRPr="00B46382" w:rsidRDefault="00D60115" w:rsidP="00C63B6D">
      <w:pPr>
        <w:rPr>
          <w:rFonts w:cs="Arial"/>
          <w:szCs w:val="24"/>
        </w:rPr>
      </w:pPr>
    </w:p>
    <w:p w14:paraId="57B0604A" w14:textId="42F517B9" w:rsidR="000D4F9B" w:rsidRPr="00B46382" w:rsidRDefault="002C4BDC" w:rsidP="00C63B6D">
      <w:pPr>
        <w:rPr>
          <w:rFonts w:cs="Arial"/>
          <w:szCs w:val="24"/>
        </w:rPr>
      </w:pPr>
      <w:r w:rsidRPr="00B46382">
        <w:rPr>
          <w:rFonts w:cs="Arial"/>
          <w:szCs w:val="24"/>
        </w:rPr>
        <w:t xml:space="preserve">TASO (2023) </w:t>
      </w:r>
      <w:r w:rsidRPr="00B46382">
        <w:rPr>
          <w:rStyle w:val="Emphasis"/>
          <w:rFonts w:cs="Arial"/>
          <w:szCs w:val="24"/>
        </w:rPr>
        <w:t>The Value of Higher Education</w:t>
      </w:r>
      <w:r w:rsidRPr="00B46382">
        <w:rPr>
          <w:rFonts w:cs="Arial"/>
          <w:szCs w:val="24"/>
        </w:rPr>
        <w:t>. Available at: [</w:t>
      </w:r>
      <w:hyperlink r:id="rId45" w:history="1">
        <w:r w:rsidRPr="00B46382">
          <w:rPr>
            <w:rStyle w:val="Hyperlink"/>
            <w:rFonts w:cs="Arial"/>
            <w:szCs w:val="24"/>
          </w:rPr>
          <w:t>Taso-full-report-the-value-of-higher-education.pdf</w:t>
        </w:r>
      </w:hyperlink>
      <w:r w:rsidRPr="00B46382">
        <w:rPr>
          <w:rFonts w:cs="Arial"/>
          <w:szCs w:val="24"/>
        </w:rPr>
        <w:t>] (Accessed: 14 September 2024).</w:t>
      </w:r>
    </w:p>
    <w:p w14:paraId="03D84830" w14:textId="108271D1" w:rsidR="00C63B6D" w:rsidRPr="00B46382" w:rsidRDefault="00BB460D" w:rsidP="00C01FB8">
      <w:pPr>
        <w:spacing w:after="0" w:line="240" w:lineRule="auto"/>
        <w:rPr>
          <w:rFonts w:cs="Arial"/>
          <w:szCs w:val="24"/>
        </w:rPr>
      </w:pPr>
      <w:r w:rsidRPr="00B46382">
        <w:rPr>
          <w:rFonts w:cs="Arial"/>
          <w:szCs w:val="24"/>
        </w:rPr>
        <w:t xml:space="preserve">TASO (n.d.) </w:t>
      </w:r>
      <w:r w:rsidRPr="00B46382">
        <w:rPr>
          <w:rStyle w:val="Emphasis"/>
          <w:rFonts w:cs="Arial"/>
          <w:szCs w:val="24"/>
        </w:rPr>
        <w:t>Theory of Change resources</w:t>
      </w:r>
      <w:r w:rsidRPr="00B46382">
        <w:rPr>
          <w:rFonts w:cs="Arial"/>
          <w:szCs w:val="24"/>
        </w:rPr>
        <w:t>. Available at: [</w:t>
      </w:r>
      <w:hyperlink r:id="rId46" w:history="1">
        <w:r w:rsidRPr="00B46382">
          <w:rPr>
            <w:rStyle w:val="Hyperlink"/>
            <w:rFonts w:cs="Arial"/>
            <w:szCs w:val="24"/>
          </w:rPr>
          <w:t>Theory of Change resources - TASO</w:t>
        </w:r>
      </w:hyperlink>
      <w:r w:rsidRPr="00B46382">
        <w:rPr>
          <w:rFonts w:cs="Arial"/>
          <w:szCs w:val="24"/>
        </w:rPr>
        <w:t>] (Accessed: 14 September 2024).</w:t>
      </w:r>
    </w:p>
    <w:p w14:paraId="67A6728A" w14:textId="77777777" w:rsidR="00D60115" w:rsidRPr="00B46382" w:rsidRDefault="00D60115" w:rsidP="00C01FB8">
      <w:pPr>
        <w:spacing w:after="0" w:line="240" w:lineRule="auto"/>
        <w:rPr>
          <w:rFonts w:cs="Arial"/>
          <w:szCs w:val="24"/>
        </w:rPr>
      </w:pPr>
    </w:p>
    <w:p w14:paraId="45E12692" w14:textId="746D9E29" w:rsidR="00D60115" w:rsidRPr="00B46382" w:rsidRDefault="00D60115" w:rsidP="00D60115">
      <w:pPr>
        <w:pStyle w:val="NormalWeb"/>
        <w:spacing w:before="0" w:beforeAutospacing="0" w:after="300" w:afterAutospacing="0"/>
        <w:rPr>
          <w:rFonts w:ascii="Arial" w:hAnsi="Arial" w:cs="Arial"/>
        </w:rPr>
      </w:pPr>
      <w:r w:rsidRPr="00B46382">
        <w:rPr>
          <w:rFonts w:ascii="Arial" w:hAnsi="Arial" w:cs="Arial"/>
        </w:rPr>
        <w:t xml:space="preserve">TASO, n.d. </w:t>
      </w:r>
      <w:r w:rsidRPr="00B46382">
        <w:rPr>
          <w:rStyle w:val="Emphasis"/>
          <w:rFonts w:ascii="Arial" w:hAnsi="Arial" w:cs="Arial"/>
        </w:rPr>
        <w:t>Evaluation guidance and resources</w:t>
      </w:r>
      <w:r w:rsidRPr="00B46382">
        <w:rPr>
          <w:rFonts w:ascii="Arial" w:hAnsi="Arial" w:cs="Arial"/>
        </w:rPr>
        <w:t xml:space="preserve">. [online] Available at: </w:t>
      </w:r>
      <w:hyperlink r:id="rId47" w:tgtFrame="_new" w:history="1">
        <w:r w:rsidRPr="00B46382">
          <w:rPr>
            <w:rStyle w:val="Hyperlink"/>
            <w:rFonts w:ascii="Arial" w:hAnsi="Arial" w:cs="Arial"/>
          </w:rPr>
          <w:t>https://taso.org.uk/evidence/evaluation-guidance-resources/</w:t>
        </w:r>
      </w:hyperlink>
      <w:r w:rsidRPr="00B46382">
        <w:rPr>
          <w:rFonts w:ascii="Arial" w:hAnsi="Arial" w:cs="Arial"/>
        </w:rPr>
        <w:t xml:space="preserve"> [Accessed 14 September 2024].</w:t>
      </w:r>
    </w:p>
    <w:p w14:paraId="32862223" w14:textId="609F7096" w:rsidR="00FD1180" w:rsidRPr="00B46382" w:rsidRDefault="00FD1180" w:rsidP="00D60115">
      <w:pPr>
        <w:pStyle w:val="NormalWeb"/>
        <w:spacing w:before="0" w:beforeAutospacing="0" w:after="300" w:afterAutospacing="0"/>
        <w:rPr>
          <w:rFonts w:ascii="Arial" w:hAnsi="Arial" w:cs="Arial"/>
        </w:rPr>
      </w:pPr>
      <w:r w:rsidRPr="00B46382">
        <w:rPr>
          <w:rStyle w:val="Strong"/>
          <w:rFonts w:ascii="Arial" w:eastAsia="Arial" w:hAnsi="Arial" w:cs="Arial"/>
          <w:b w:val="0"/>
          <w:bCs w:val="0"/>
        </w:rPr>
        <w:t>TASO</w:t>
      </w:r>
      <w:r w:rsidRPr="00B46382">
        <w:rPr>
          <w:rFonts w:ascii="Arial" w:hAnsi="Arial" w:cs="Arial"/>
        </w:rPr>
        <w:t xml:space="preserve">, 2023. </w:t>
      </w:r>
      <w:r w:rsidRPr="00B46382">
        <w:rPr>
          <w:rStyle w:val="Emphasis"/>
          <w:rFonts w:ascii="Arial" w:hAnsi="Arial" w:cs="Arial"/>
        </w:rPr>
        <w:t>Impact Evaluation with Small Cohorts: Methodology Guidance</w:t>
      </w:r>
      <w:r w:rsidRPr="00B46382">
        <w:rPr>
          <w:rFonts w:ascii="Arial" w:hAnsi="Arial" w:cs="Arial"/>
        </w:rPr>
        <w:t>. [online] Available at:</w:t>
      </w:r>
      <w:r w:rsidR="008114CB" w:rsidRPr="00B46382">
        <w:rPr>
          <w:rFonts w:ascii="Arial" w:hAnsi="Arial" w:cs="Arial"/>
        </w:rPr>
        <w:t xml:space="preserve"> </w:t>
      </w:r>
      <w:hyperlink r:id="rId48" w:history="1">
        <w:r w:rsidR="008114CB" w:rsidRPr="00B46382">
          <w:rPr>
            <w:rStyle w:val="Hyperlink"/>
            <w:rFonts w:ascii="Arial" w:eastAsia="Arial" w:hAnsi="Arial" w:cs="Arial"/>
          </w:rPr>
          <w:t>Understanding the impact of interventions to address inequality in the student experience (taso.org.uk)</w:t>
        </w:r>
      </w:hyperlink>
      <w:r w:rsidRPr="00B46382">
        <w:rPr>
          <w:rFonts w:ascii="Arial" w:hAnsi="Arial" w:cs="Arial"/>
        </w:rPr>
        <w:t xml:space="preserve">  [Accessed 10 September 2024].</w:t>
      </w:r>
    </w:p>
    <w:p w14:paraId="336C8003" w14:textId="3BFFD8DB" w:rsidR="00D16E12" w:rsidRPr="00B46382" w:rsidRDefault="00D16E12" w:rsidP="00D60115">
      <w:pPr>
        <w:pStyle w:val="NormalWeb"/>
        <w:spacing w:before="0" w:beforeAutospacing="0" w:after="300" w:afterAutospacing="0"/>
        <w:rPr>
          <w:rFonts w:ascii="Arial" w:hAnsi="Arial" w:cs="Arial"/>
        </w:rPr>
      </w:pPr>
      <w:r w:rsidRPr="00B46382">
        <w:rPr>
          <w:rFonts w:ascii="Arial" w:hAnsi="Arial" w:cs="Arial"/>
        </w:rPr>
        <w:t xml:space="preserve">TASO (2023) </w:t>
      </w:r>
      <w:r w:rsidRPr="00B46382">
        <w:rPr>
          <w:rStyle w:val="Emphasis"/>
          <w:rFonts w:ascii="Arial" w:eastAsia="Arial" w:hAnsi="Arial" w:cs="Arial"/>
        </w:rPr>
        <w:t>Rapid review to support development of the Equality of Opportunity Risk Register</w:t>
      </w:r>
      <w:r w:rsidRPr="00B46382">
        <w:rPr>
          <w:rFonts w:ascii="Arial" w:hAnsi="Arial" w:cs="Arial"/>
        </w:rPr>
        <w:t xml:space="preserve">. Available at: </w:t>
      </w:r>
      <w:hyperlink r:id="rId49" w:history="1">
        <w:r w:rsidRPr="00B46382">
          <w:rPr>
            <w:rStyle w:val="Hyperlink"/>
            <w:rFonts w:ascii="Arial" w:hAnsi="Arial" w:cs="Arial"/>
          </w:rPr>
          <w:t>https://www.officeforstudents.org.uk/publications/rapid-review-to-support-development-of-the-equality-of-opportunity-risk-register/</w:t>
        </w:r>
      </w:hyperlink>
      <w:r w:rsidRPr="00B46382">
        <w:rPr>
          <w:rFonts w:ascii="Arial" w:hAnsi="Arial" w:cs="Arial"/>
        </w:rPr>
        <w:t xml:space="preserve">  (Accessed: 14 </w:t>
      </w:r>
      <w:r w:rsidR="00007194" w:rsidRPr="00B46382">
        <w:rPr>
          <w:rFonts w:ascii="Arial" w:hAnsi="Arial" w:cs="Arial"/>
        </w:rPr>
        <w:t>May</w:t>
      </w:r>
      <w:r w:rsidRPr="00B46382">
        <w:rPr>
          <w:rFonts w:ascii="Arial" w:hAnsi="Arial" w:cs="Arial"/>
        </w:rPr>
        <w:t xml:space="preserve"> 2024).</w:t>
      </w:r>
    </w:p>
    <w:p w14:paraId="2E675379" w14:textId="5FFB864C" w:rsidR="00897EDC" w:rsidRPr="00B46382" w:rsidRDefault="00897EDC" w:rsidP="00897EDC">
      <w:pPr>
        <w:spacing w:after="0" w:line="240" w:lineRule="auto"/>
        <w:rPr>
          <w:rFonts w:cs="Arial"/>
          <w:szCs w:val="24"/>
        </w:rPr>
      </w:pPr>
      <w:r w:rsidRPr="00B46382">
        <w:rPr>
          <w:rFonts w:cs="Arial"/>
          <w:szCs w:val="24"/>
        </w:rPr>
        <w:t xml:space="preserve">The Brilliant Club (2022) </w:t>
      </w:r>
      <w:hyperlink r:id="rId50" w:anchor="_edn12" w:history="1">
        <w:r w:rsidRPr="00B46382">
          <w:rPr>
            <w:rStyle w:val="Hyperlink"/>
            <w:rFonts w:cs="Arial"/>
            <w:szCs w:val="24"/>
          </w:rPr>
          <w:t>Raising attainment: Taking an evidence-based approach to boosting academic achievement - The Brilliant Club</w:t>
        </w:r>
      </w:hyperlink>
      <w:r w:rsidRPr="00B46382">
        <w:rPr>
          <w:rFonts w:cs="Arial"/>
          <w:szCs w:val="24"/>
        </w:rPr>
        <w:t xml:space="preserve"> </w:t>
      </w:r>
    </w:p>
    <w:p w14:paraId="764B3B54" w14:textId="77777777" w:rsidR="00D8273A" w:rsidRPr="00B46382" w:rsidRDefault="00D8273A" w:rsidP="00897EDC">
      <w:pPr>
        <w:spacing w:after="0" w:line="240" w:lineRule="auto"/>
        <w:rPr>
          <w:rFonts w:cs="Arial"/>
          <w:szCs w:val="24"/>
        </w:rPr>
      </w:pPr>
    </w:p>
    <w:p w14:paraId="7E5E6297" w14:textId="0D890F36" w:rsidR="00D8273A" w:rsidRPr="00B46382" w:rsidRDefault="00D8273A" w:rsidP="00897EDC">
      <w:pPr>
        <w:spacing w:after="0" w:line="240" w:lineRule="auto"/>
        <w:rPr>
          <w:rFonts w:cs="Arial"/>
          <w:szCs w:val="24"/>
        </w:rPr>
      </w:pPr>
      <w:r w:rsidRPr="00B46382">
        <w:rPr>
          <w:rFonts w:cs="Arial"/>
          <w:szCs w:val="24"/>
        </w:rPr>
        <w:t xml:space="preserve">The Conversation (n.d.) </w:t>
      </w:r>
      <w:r w:rsidRPr="00B46382">
        <w:rPr>
          <w:rStyle w:val="Emphasis"/>
          <w:rFonts w:cs="Arial"/>
          <w:szCs w:val="24"/>
        </w:rPr>
        <w:t>University study is designed for the privileged – students from disadvantaged backgrounds suffer</w:t>
      </w:r>
      <w:r w:rsidRPr="00B46382">
        <w:rPr>
          <w:rFonts w:cs="Arial"/>
          <w:szCs w:val="24"/>
        </w:rPr>
        <w:t>. Available at:</w:t>
      </w:r>
      <w:r w:rsidR="00796E51" w:rsidRPr="00B46382">
        <w:rPr>
          <w:rFonts w:cs="Arial"/>
          <w:szCs w:val="24"/>
        </w:rPr>
        <w:t xml:space="preserve"> </w:t>
      </w:r>
      <w:hyperlink r:id="rId51" w:history="1">
        <w:r w:rsidR="00796E51" w:rsidRPr="00B46382">
          <w:rPr>
            <w:rStyle w:val="Hyperlink"/>
            <w:rFonts w:cs="Arial"/>
            <w:szCs w:val="24"/>
          </w:rPr>
          <w:t>University study is designed for the privileged – students from disadvantaged backgrounds suffer (theconversation.com)</w:t>
        </w:r>
      </w:hyperlink>
      <w:r w:rsidRPr="00B46382">
        <w:rPr>
          <w:rFonts w:cs="Arial"/>
          <w:szCs w:val="24"/>
        </w:rPr>
        <w:t xml:space="preserve">  (Accessed: 12 August 2024).</w:t>
      </w:r>
    </w:p>
    <w:p w14:paraId="182BE390" w14:textId="77777777" w:rsidR="00897EDC" w:rsidRPr="00B46382" w:rsidRDefault="00897EDC" w:rsidP="00897EDC">
      <w:pPr>
        <w:spacing w:after="0" w:line="240" w:lineRule="auto"/>
        <w:rPr>
          <w:rFonts w:cs="Arial"/>
          <w:color w:val="171413"/>
          <w:szCs w:val="24"/>
          <w:shd w:val="clear" w:color="auto" w:fill="FFFFFF"/>
        </w:rPr>
      </w:pPr>
    </w:p>
    <w:p w14:paraId="18857519" w14:textId="21D0A79E" w:rsidR="006E7B6D" w:rsidRPr="00B46382" w:rsidRDefault="007B1D99" w:rsidP="00C01FB8">
      <w:pPr>
        <w:spacing w:after="0" w:line="240" w:lineRule="auto"/>
        <w:rPr>
          <w:rFonts w:cs="Arial"/>
          <w:szCs w:val="24"/>
        </w:rPr>
      </w:pPr>
      <w:r w:rsidRPr="00B46382">
        <w:rPr>
          <w:rFonts w:cs="Arial"/>
          <w:szCs w:val="24"/>
        </w:rPr>
        <w:t xml:space="preserve">UCAS (2022) </w:t>
      </w:r>
      <w:r w:rsidRPr="00B46382">
        <w:rPr>
          <w:rStyle w:val="Emphasis"/>
          <w:rFonts w:cs="Arial"/>
          <w:szCs w:val="24"/>
        </w:rPr>
        <w:t xml:space="preserve">Next Steps: What is the experience of disabled students in </w:t>
      </w:r>
      <w:proofErr w:type="gramStart"/>
      <w:r w:rsidRPr="00B46382">
        <w:rPr>
          <w:rStyle w:val="Emphasis"/>
          <w:rFonts w:cs="Arial"/>
          <w:szCs w:val="24"/>
        </w:rPr>
        <w:t>education?</w:t>
      </w:r>
      <w:r w:rsidRPr="00B46382">
        <w:rPr>
          <w:rFonts w:cs="Arial"/>
          <w:szCs w:val="24"/>
        </w:rPr>
        <w:t>.</w:t>
      </w:r>
      <w:proofErr w:type="gramEnd"/>
      <w:r w:rsidRPr="00B46382">
        <w:rPr>
          <w:rFonts w:cs="Arial"/>
          <w:szCs w:val="24"/>
        </w:rPr>
        <w:t xml:space="preserve"> Available a</w:t>
      </w:r>
      <w:r w:rsidR="001855D9" w:rsidRPr="00B46382">
        <w:rPr>
          <w:rFonts w:cs="Arial"/>
          <w:szCs w:val="24"/>
        </w:rPr>
        <w:t xml:space="preserve">t: </w:t>
      </w:r>
      <w:hyperlink r:id="rId52" w:history="1">
        <w:r w:rsidR="001855D9" w:rsidRPr="00B46382">
          <w:rPr>
            <w:rStyle w:val="Hyperlink"/>
            <w:rFonts w:cs="Arial"/>
            <w:szCs w:val="24"/>
          </w:rPr>
          <w:t>Next Steps: What is the experience of disabled students in education? | Undergraduate | UCAS</w:t>
        </w:r>
      </w:hyperlink>
      <w:r w:rsidRPr="00B46382">
        <w:rPr>
          <w:rFonts w:cs="Arial"/>
          <w:szCs w:val="24"/>
        </w:rPr>
        <w:t xml:space="preserve"> </w:t>
      </w:r>
      <w:r w:rsidR="001855D9" w:rsidRPr="00B46382">
        <w:rPr>
          <w:rFonts w:cs="Arial"/>
          <w:szCs w:val="24"/>
        </w:rPr>
        <w:t xml:space="preserve"> </w:t>
      </w:r>
      <w:r w:rsidRPr="00B46382">
        <w:rPr>
          <w:rFonts w:cs="Arial"/>
          <w:szCs w:val="24"/>
        </w:rPr>
        <w:t xml:space="preserve">(Accessed: 14 </w:t>
      </w:r>
      <w:r w:rsidR="001855D9" w:rsidRPr="00B46382">
        <w:rPr>
          <w:rFonts w:cs="Arial"/>
          <w:szCs w:val="24"/>
        </w:rPr>
        <w:t>August</w:t>
      </w:r>
      <w:r w:rsidRPr="00B46382">
        <w:rPr>
          <w:rFonts w:cs="Arial"/>
          <w:szCs w:val="24"/>
        </w:rPr>
        <w:t xml:space="preserve"> 2024).</w:t>
      </w:r>
    </w:p>
    <w:p w14:paraId="5B081044" w14:textId="77777777" w:rsidR="007B1D99" w:rsidRPr="00B46382" w:rsidRDefault="007B1D99" w:rsidP="00C01FB8">
      <w:pPr>
        <w:spacing w:after="0" w:line="240" w:lineRule="auto"/>
        <w:rPr>
          <w:rFonts w:cs="Arial"/>
          <w:szCs w:val="24"/>
        </w:rPr>
      </w:pPr>
    </w:p>
    <w:p w14:paraId="71E9802A" w14:textId="023ED701" w:rsidR="00D60115" w:rsidRPr="00B46382" w:rsidRDefault="00D60115" w:rsidP="00D60115">
      <w:pPr>
        <w:rPr>
          <w:rFonts w:cs="Arial"/>
          <w:szCs w:val="24"/>
        </w:rPr>
      </w:pPr>
      <w:r w:rsidRPr="00B46382">
        <w:rPr>
          <w:rFonts w:cs="Arial"/>
          <w:szCs w:val="24"/>
        </w:rPr>
        <w:lastRenderedPageBreak/>
        <w:t xml:space="preserve">UK Evaluation Society, 2013. </w:t>
      </w:r>
      <w:r w:rsidRPr="00B46382">
        <w:rPr>
          <w:rStyle w:val="Emphasis"/>
          <w:rFonts w:cs="Arial"/>
          <w:szCs w:val="24"/>
        </w:rPr>
        <w:t>Guidelines for good practice in evaluation</w:t>
      </w:r>
      <w:r w:rsidRPr="00B46382">
        <w:rPr>
          <w:rFonts w:cs="Arial"/>
          <w:szCs w:val="24"/>
        </w:rPr>
        <w:t xml:space="preserve">. [pdf] Available at: </w:t>
      </w:r>
      <w:hyperlink r:id="rId53" w:tgtFrame="_new" w:history="1">
        <w:r w:rsidRPr="00B46382">
          <w:rPr>
            <w:rStyle w:val="Hyperlink"/>
            <w:rFonts w:cs="Arial"/>
            <w:szCs w:val="24"/>
          </w:rPr>
          <w:t>https://www.evaluation.org.uk/app/uploads/2019/04/UK-Evaluation-Society-Guidelines-for-Good-Practice-in-Evaluation.pdf</w:t>
        </w:r>
      </w:hyperlink>
      <w:r w:rsidRPr="00B46382">
        <w:rPr>
          <w:rFonts w:cs="Arial"/>
          <w:szCs w:val="24"/>
        </w:rPr>
        <w:t xml:space="preserve"> [Accessed 14 September 2024].</w:t>
      </w:r>
    </w:p>
    <w:p w14:paraId="6AB337EC" w14:textId="6D407FC8" w:rsidR="004A19B9" w:rsidRPr="00B46382" w:rsidRDefault="004A19B9" w:rsidP="00D60115">
      <w:pPr>
        <w:rPr>
          <w:rFonts w:cs="Arial"/>
          <w:b/>
          <w:bCs/>
          <w:szCs w:val="24"/>
        </w:rPr>
      </w:pPr>
      <w:r w:rsidRPr="00B46382">
        <w:rPr>
          <w:rFonts w:cs="Arial"/>
          <w:szCs w:val="24"/>
        </w:rPr>
        <w:t xml:space="preserve">UK Government (2017) </w:t>
      </w:r>
      <w:r w:rsidRPr="00B46382">
        <w:rPr>
          <w:rStyle w:val="Emphasis"/>
          <w:rFonts w:cs="Arial"/>
          <w:szCs w:val="24"/>
        </w:rPr>
        <w:t>Higher Education and Research Act 2017, section 32 (1)</w:t>
      </w:r>
      <w:r w:rsidRPr="00B46382">
        <w:rPr>
          <w:rFonts w:cs="Arial"/>
          <w:szCs w:val="24"/>
        </w:rPr>
        <w:t xml:space="preserve">. Available at: </w:t>
      </w:r>
      <w:hyperlink r:id="rId54" w:tgtFrame="_new" w:history="1">
        <w:r w:rsidRPr="00B46382">
          <w:rPr>
            <w:rStyle w:val="Hyperlink"/>
            <w:rFonts w:cs="Arial"/>
            <w:szCs w:val="24"/>
          </w:rPr>
          <w:t>https://www.legislation.gov.uk/ukpga/2017/29/section/32/enacted</w:t>
        </w:r>
      </w:hyperlink>
      <w:r w:rsidRPr="00B46382">
        <w:rPr>
          <w:rFonts w:cs="Arial"/>
          <w:szCs w:val="24"/>
        </w:rPr>
        <w:t xml:space="preserve"> (Accessed: 2 May 2024).</w:t>
      </w:r>
    </w:p>
    <w:p w14:paraId="1D9A7359" w14:textId="50AF8262" w:rsidR="00D60115" w:rsidRPr="00B46382" w:rsidRDefault="008D2C7A" w:rsidP="004A19B9">
      <w:pPr>
        <w:rPr>
          <w:rFonts w:cs="Arial"/>
          <w:szCs w:val="24"/>
        </w:rPr>
      </w:pPr>
      <w:r w:rsidRPr="00B46382">
        <w:rPr>
          <w:rFonts w:cs="Arial"/>
          <w:szCs w:val="24"/>
        </w:rPr>
        <w:t xml:space="preserve">Universities UK (UUK) and National Union of Students (NUS) (2019) </w:t>
      </w:r>
      <w:r w:rsidRPr="00B46382">
        <w:rPr>
          <w:rStyle w:val="Emphasis"/>
          <w:rFonts w:cs="Arial"/>
          <w:szCs w:val="24"/>
        </w:rPr>
        <w:t>Black, Asian and Minority Ethnic Student Attainment at UK Universities: #Closingthegap</w:t>
      </w:r>
      <w:r w:rsidRPr="00B46382">
        <w:rPr>
          <w:rFonts w:cs="Arial"/>
          <w:szCs w:val="24"/>
        </w:rPr>
        <w:t>. Available at:</w:t>
      </w:r>
      <w:r w:rsidR="004647FF" w:rsidRPr="00B46382">
        <w:rPr>
          <w:rFonts w:cs="Arial"/>
          <w:szCs w:val="24"/>
        </w:rPr>
        <w:t xml:space="preserve"> </w:t>
      </w:r>
      <w:hyperlink r:id="rId55" w:history="1">
        <w:r w:rsidR="004647FF" w:rsidRPr="00B46382">
          <w:rPr>
            <w:rStyle w:val="Hyperlink"/>
            <w:rFonts w:cs="Arial"/>
            <w:szCs w:val="24"/>
          </w:rPr>
          <w:t>Black, Asian and Minority Ethnic student attainment at UK universities: closing the gap (universitiesuk.ac.uk)</w:t>
        </w:r>
      </w:hyperlink>
      <w:r w:rsidRPr="00B46382">
        <w:rPr>
          <w:rFonts w:cs="Arial"/>
          <w:szCs w:val="24"/>
        </w:rPr>
        <w:t xml:space="preserve">  (Accessed: 1</w:t>
      </w:r>
      <w:r w:rsidR="004647FF" w:rsidRPr="00B46382">
        <w:rPr>
          <w:rFonts w:cs="Arial"/>
          <w:szCs w:val="24"/>
        </w:rPr>
        <w:t xml:space="preserve"> May</w:t>
      </w:r>
      <w:r w:rsidRPr="00B46382">
        <w:rPr>
          <w:rFonts w:cs="Arial"/>
          <w:szCs w:val="24"/>
        </w:rPr>
        <w:t xml:space="preserve"> 2024).</w:t>
      </w:r>
    </w:p>
    <w:p w14:paraId="3F24A55A" w14:textId="25E6AD7E" w:rsidR="000C67BB" w:rsidRPr="00B46382" w:rsidRDefault="000C67BB" w:rsidP="000C67BB">
      <w:pPr>
        <w:spacing w:after="0" w:line="240" w:lineRule="auto"/>
        <w:rPr>
          <w:rFonts w:cs="Arial"/>
          <w:szCs w:val="24"/>
        </w:rPr>
      </w:pPr>
      <w:r w:rsidRPr="00B46382">
        <w:rPr>
          <w:rFonts w:cs="Arial"/>
          <w:szCs w:val="24"/>
        </w:rPr>
        <w:t xml:space="preserve">Widening Participation in HE (2023) </w:t>
      </w:r>
      <w:hyperlink r:id="rId56" w:history="1">
        <w:r w:rsidRPr="00B46382">
          <w:rPr>
            <w:rStyle w:val="Hyperlink"/>
            <w:rFonts w:cs="Arial"/>
            <w:szCs w:val="24"/>
          </w:rPr>
          <w:t>Widening participation in higher education, Academic year 2021/22 - Explore education statistics - GOV.UK (explore-education-statistics.service.gov.uk)</w:t>
        </w:r>
      </w:hyperlink>
      <w:r w:rsidRPr="00B46382">
        <w:rPr>
          <w:rFonts w:cs="Arial"/>
          <w:szCs w:val="24"/>
        </w:rPr>
        <w:t xml:space="preserve">  </w:t>
      </w:r>
    </w:p>
    <w:p w14:paraId="4E82A556" w14:textId="77777777" w:rsidR="004A19B9" w:rsidRDefault="004A19B9" w:rsidP="000C67BB">
      <w:pPr>
        <w:spacing w:after="0" w:line="240" w:lineRule="auto"/>
      </w:pPr>
    </w:p>
    <w:sectPr w:rsidR="004A19B9" w:rsidSect="00043E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785C5" w14:textId="77777777" w:rsidR="00DF3662" w:rsidRDefault="00DF3662" w:rsidP="00CA30C8">
      <w:pPr>
        <w:spacing w:after="0" w:line="240" w:lineRule="auto"/>
      </w:pPr>
      <w:r>
        <w:separator/>
      </w:r>
    </w:p>
  </w:endnote>
  <w:endnote w:type="continuationSeparator" w:id="0">
    <w:p w14:paraId="54B0C873" w14:textId="77777777" w:rsidR="00DF3662" w:rsidRDefault="00DF3662" w:rsidP="00CA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183014"/>
      <w:docPartObj>
        <w:docPartGallery w:val="Page Numbers (Bottom of Page)"/>
        <w:docPartUnique/>
      </w:docPartObj>
    </w:sdtPr>
    <w:sdtContent>
      <w:p w14:paraId="7C03B854" w14:textId="24C362DF" w:rsidR="00DF3662" w:rsidRDefault="00DF3662">
        <w:pPr>
          <w:pStyle w:val="Footer"/>
          <w:jc w:val="right"/>
        </w:pPr>
        <w:r>
          <w:fldChar w:fldCharType="begin"/>
        </w:r>
        <w:r>
          <w:instrText>PAGE   \* MERGEFORMAT</w:instrText>
        </w:r>
        <w:r>
          <w:fldChar w:fldCharType="separate"/>
        </w:r>
        <w:r>
          <w:t>2</w:t>
        </w:r>
        <w:r>
          <w:fldChar w:fldCharType="end"/>
        </w:r>
      </w:p>
    </w:sdtContent>
  </w:sdt>
  <w:p w14:paraId="6B5B9CFF" w14:textId="77777777" w:rsidR="00DF3662" w:rsidRDefault="00DF3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EC40" w14:textId="77777777" w:rsidR="00DF3662" w:rsidRDefault="00DF3662" w:rsidP="00CA30C8">
      <w:pPr>
        <w:spacing w:after="0" w:line="240" w:lineRule="auto"/>
      </w:pPr>
      <w:r>
        <w:separator/>
      </w:r>
    </w:p>
  </w:footnote>
  <w:footnote w:type="continuationSeparator" w:id="0">
    <w:p w14:paraId="6F281112" w14:textId="77777777" w:rsidR="00DF3662" w:rsidRDefault="00DF3662" w:rsidP="00CA3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588"/>
    <w:multiLevelType w:val="hybridMultilevel"/>
    <w:tmpl w:val="DD021416"/>
    <w:lvl w:ilvl="0" w:tplc="62E2FAA4">
      <w:start w:val="1"/>
      <w:numFmt w:val="decimal"/>
      <w:lvlText w:val="%1."/>
      <w:lvlJc w:val="left"/>
      <w:pPr>
        <w:ind w:left="108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662BC0"/>
    <w:multiLevelType w:val="hybridMultilevel"/>
    <w:tmpl w:val="00F4E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3473D"/>
    <w:multiLevelType w:val="hybridMultilevel"/>
    <w:tmpl w:val="4B3EE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4D25C4"/>
    <w:multiLevelType w:val="hybridMultilevel"/>
    <w:tmpl w:val="1D4E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04336"/>
    <w:multiLevelType w:val="multilevel"/>
    <w:tmpl w:val="3E56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2101"/>
    <w:multiLevelType w:val="hybridMultilevel"/>
    <w:tmpl w:val="23D60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66E3C"/>
    <w:multiLevelType w:val="hybridMultilevel"/>
    <w:tmpl w:val="7D6A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044C3"/>
    <w:multiLevelType w:val="multilevel"/>
    <w:tmpl w:val="49B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55FE5"/>
    <w:multiLevelType w:val="hybridMultilevel"/>
    <w:tmpl w:val="1994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55656"/>
    <w:multiLevelType w:val="hybridMultilevel"/>
    <w:tmpl w:val="6378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93344"/>
    <w:multiLevelType w:val="multilevel"/>
    <w:tmpl w:val="EC6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BE0E41"/>
    <w:multiLevelType w:val="hybridMultilevel"/>
    <w:tmpl w:val="076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1293C"/>
    <w:multiLevelType w:val="multilevel"/>
    <w:tmpl w:val="234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40246"/>
    <w:multiLevelType w:val="multilevel"/>
    <w:tmpl w:val="BD0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90666D"/>
    <w:multiLevelType w:val="multilevel"/>
    <w:tmpl w:val="54A4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4B288F"/>
    <w:multiLevelType w:val="hybridMultilevel"/>
    <w:tmpl w:val="C770AC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805108"/>
    <w:multiLevelType w:val="hybridMultilevel"/>
    <w:tmpl w:val="C7EC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C6D76"/>
    <w:multiLevelType w:val="hybridMultilevel"/>
    <w:tmpl w:val="0518E102"/>
    <w:lvl w:ilvl="0" w:tplc="907C5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907C7B"/>
    <w:multiLevelType w:val="multilevel"/>
    <w:tmpl w:val="B01C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B7316E"/>
    <w:multiLevelType w:val="hybridMultilevel"/>
    <w:tmpl w:val="0D9A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65348"/>
    <w:multiLevelType w:val="multilevel"/>
    <w:tmpl w:val="7988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A46CB4"/>
    <w:multiLevelType w:val="hybridMultilevel"/>
    <w:tmpl w:val="108AD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8C38CB"/>
    <w:multiLevelType w:val="hybridMultilevel"/>
    <w:tmpl w:val="5578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8389E"/>
    <w:multiLevelType w:val="hybridMultilevel"/>
    <w:tmpl w:val="804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15B1C"/>
    <w:multiLevelType w:val="multilevel"/>
    <w:tmpl w:val="257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040EC7"/>
    <w:multiLevelType w:val="multilevel"/>
    <w:tmpl w:val="DDB6354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0F45D7"/>
    <w:multiLevelType w:val="multilevel"/>
    <w:tmpl w:val="1894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23"/>
  </w:num>
  <w:num w:numId="7">
    <w:abstractNumId w:val="16"/>
  </w:num>
  <w:num w:numId="8">
    <w:abstractNumId w:val="14"/>
  </w:num>
  <w:num w:numId="9">
    <w:abstractNumId w:val="4"/>
  </w:num>
  <w:num w:numId="10">
    <w:abstractNumId w:val="13"/>
  </w:num>
  <w:num w:numId="11">
    <w:abstractNumId w:val="26"/>
  </w:num>
  <w:num w:numId="12">
    <w:abstractNumId w:val="24"/>
  </w:num>
  <w:num w:numId="13">
    <w:abstractNumId w:val="7"/>
  </w:num>
  <w:num w:numId="14">
    <w:abstractNumId w:val="25"/>
  </w:num>
  <w:num w:numId="15">
    <w:abstractNumId w:val="18"/>
  </w:num>
  <w:num w:numId="16">
    <w:abstractNumId w:val="15"/>
  </w:num>
  <w:num w:numId="17">
    <w:abstractNumId w:val="10"/>
  </w:num>
  <w:num w:numId="18">
    <w:abstractNumId w:val="20"/>
  </w:num>
  <w:num w:numId="19">
    <w:abstractNumId w:val="1"/>
  </w:num>
  <w:num w:numId="20">
    <w:abstractNumId w:val="5"/>
  </w:num>
  <w:num w:numId="21">
    <w:abstractNumId w:val="6"/>
  </w:num>
  <w:num w:numId="22">
    <w:abstractNumId w:val="2"/>
  </w:num>
  <w:num w:numId="23">
    <w:abstractNumId w:val="21"/>
  </w:num>
  <w:num w:numId="24">
    <w:abstractNumId w:val="9"/>
  </w:num>
  <w:num w:numId="25">
    <w:abstractNumId w:val="12"/>
  </w:num>
  <w:num w:numId="26">
    <w:abstractNumId w:val="8"/>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18"/>
    <w:rsid w:val="0000318B"/>
    <w:rsid w:val="000034D6"/>
    <w:rsid w:val="00004713"/>
    <w:rsid w:val="00004844"/>
    <w:rsid w:val="000057C5"/>
    <w:rsid w:val="00005E25"/>
    <w:rsid w:val="00006318"/>
    <w:rsid w:val="000063D9"/>
    <w:rsid w:val="0000642C"/>
    <w:rsid w:val="000065CA"/>
    <w:rsid w:val="00006882"/>
    <w:rsid w:val="00007194"/>
    <w:rsid w:val="000075A3"/>
    <w:rsid w:val="000102AD"/>
    <w:rsid w:val="00010E54"/>
    <w:rsid w:val="0001199E"/>
    <w:rsid w:val="00011D65"/>
    <w:rsid w:val="000120BA"/>
    <w:rsid w:val="00012894"/>
    <w:rsid w:val="00013D62"/>
    <w:rsid w:val="00013ED4"/>
    <w:rsid w:val="0001422B"/>
    <w:rsid w:val="0001595A"/>
    <w:rsid w:val="00016BE1"/>
    <w:rsid w:val="00016D38"/>
    <w:rsid w:val="00017579"/>
    <w:rsid w:val="00017DEE"/>
    <w:rsid w:val="000201C3"/>
    <w:rsid w:val="0002194A"/>
    <w:rsid w:val="00021E9E"/>
    <w:rsid w:val="0002297E"/>
    <w:rsid w:val="000232C0"/>
    <w:rsid w:val="0002375A"/>
    <w:rsid w:val="000238C4"/>
    <w:rsid w:val="00023E7F"/>
    <w:rsid w:val="0002438A"/>
    <w:rsid w:val="000265DE"/>
    <w:rsid w:val="00026FA5"/>
    <w:rsid w:val="000271ED"/>
    <w:rsid w:val="00027972"/>
    <w:rsid w:val="00030F5B"/>
    <w:rsid w:val="0003172B"/>
    <w:rsid w:val="00032333"/>
    <w:rsid w:val="000331EC"/>
    <w:rsid w:val="000335DB"/>
    <w:rsid w:val="00033BF8"/>
    <w:rsid w:val="00033E3F"/>
    <w:rsid w:val="00033EED"/>
    <w:rsid w:val="0003402E"/>
    <w:rsid w:val="00034BCD"/>
    <w:rsid w:val="000368FE"/>
    <w:rsid w:val="000369EE"/>
    <w:rsid w:val="00036E28"/>
    <w:rsid w:val="00037283"/>
    <w:rsid w:val="00037395"/>
    <w:rsid w:val="00040721"/>
    <w:rsid w:val="00040B5E"/>
    <w:rsid w:val="00040FDD"/>
    <w:rsid w:val="00043165"/>
    <w:rsid w:val="00043629"/>
    <w:rsid w:val="00043E5E"/>
    <w:rsid w:val="00044D1B"/>
    <w:rsid w:val="0004557B"/>
    <w:rsid w:val="00045EEF"/>
    <w:rsid w:val="00046561"/>
    <w:rsid w:val="0004657B"/>
    <w:rsid w:val="000465FF"/>
    <w:rsid w:val="0004782B"/>
    <w:rsid w:val="00047E0F"/>
    <w:rsid w:val="00050D0B"/>
    <w:rsid w:val="00051387"/>
    <w:rsid w:val="00052095"/>
    <w:rsid w:val="0005348B"/>
    <w:rsid w:val="00053688"/>
    <w:rsid w:val="00054645"/>
    <w:rsid w:val="0005474D"/>
    <w:rsid w:val="000557C4"/>
    <w:rsid w:val="00055E49"/>
    <w:rsid w:val="0005637F"/>
    <w:rsid w:val="0005744A"/>
    <w:rsid w:val="000574DB"/>
    <w:rsid w:val="000615FB"/>
    <w:rsid w:val="000616A8"/>
    <w:rsid w:val="00061D5D"/>
    <w:rsid w:val="0006261E"/>
    <w:rsid w:val="00062E0D"/>
    <w:rsid w:val="0006323A"/>
    <w:rsid w:val="000632AE"/>
    <w:rsid w:val="0006389B"/>
    <w:rsid w:val="00065833"/>
    <w:rsid w:val="0006586F"/>
    <w:rsid w:val="00065A47"/>
    <w:rsid w:val="00065D66"/>
    <w:rsid w:val="000679B9"/>
    <w:rsid w:val="00067D14"/>
    <w:rsid w:val="0007006C"/>
    <w:rsid w:val="000701B9"/>
    <w:rsid w:val="0007034A"/>
    <w:rsid w:val="000713D3"/>
    <w:rsid w:val="000714C0"/>
    <w:rsid w:val="00071584"/>
    <w:rsid w:val="0007197D"/>
    <w:rsid w:val="00071E93"/>
    <w:rsid w:val="0007244E"/>
    <w:rsid w:val="00072969"/>
    <w:rsid w:val="00072AAE"/>
    <w:rsid w:val="00072E53"/>
    <w:rsid w:val="00073714"/>
    <w:rsid w:val="00074EFA"/>
    <w:rsid w:val="000753E7"/>
    <w:rsid w:val="000759AE"/>
    <w:rsid w:val="00076724"/>
    <w:rsid w:val="00076A07"/>
    <w:rsid w:val="0007715C"/>
    <w:rsid w:val="0007743A"/>
    <w:rsid w:val="00081054"/>
    <w:rsid w:val="00081AA3"/>
    <w:rsid w:val="00081F24"/>
    <w:rsid w:val="00082AC8"/>
    <w:rsid w:val="00082DC1"/>
    <w:rsid w:val="00082F65"/>
    <w:rsid w:val="000858C1"/>
    <w:rsid w:val="00086807"/>
    <w:rsid w:val="00086A2F"/>
    <w:rsid w:val="00086B4A"/>
    <w:rsid w:val="0008749A"/>
    <w:rsid w:val="000878AE"/>
    <w:rsid w:val="000900AA"/>
    <w:rsid w:val="000917B9"/>
    <w:rsid w:val="00091D36"/>
    <w:rsid w:val="00092CBE"/>
    <w:rsid w:val="00092F53"/>
    <w:rsid w:val="0009342E"/>
    <w:rsid w:val="00093748"/>
    <w:rsid w:val="00094264"/>
    <w:rsid w:val="000944D2"/>
    <w:rsid w:val="00094981"/>
    <w:rsid w:val="00094BB0"/>
    <w:rsid w:val="00094C6B"/>
    <w:rsid w:val="00094CFA"/>
    <w:rsid w:val="000952F6"/>
    <w:rsid w:val="000953DC"/>
    <w:rsid w:val="00095B23"/>
    <w:rsid w:val="00095CA1"/>
    <w:rsid w:val="0009638E"/>
    <w:rsid w:val="000965DA"/>
    <w:rsid w:val="000971AA"/>
    <w:rsid w:val="00097354"/>
    <w:rsid w:val="000977EA"/>
    <w:rsid w:val="000A006E"/>
    <w:rsid w:val="000A008B"/>
    <w:rsid w:val="000A0792"/>
    <w:rsid w:val="000A1AC3"/>
    <w:rsid w:val="000A277B"/>
    <w:rsid w:val="000A38DD"/>
    <w:rsid w:val="000A3CC0"/>
    <w:rsid w:val="000A3DEA"/>
    <w:rsid w:val="000A4318"/>
    <w:rsid w:val="000A4377"/>
    <w:rsid w:val="000A47EB"/>
    <w:rsid w:val="000A4EAC"/>
    <w:rsid w:val="000A4EE3"/>
    <w:rsid w:val="000A659C"/>
    <w:rsid w:val="000A6A27"/>
    <w:rsid w:val="000A7995"/>
    <w:rsid w:val="000B0418"/>
    <w:rsid w:val="000B09EF"/>
    <w:rsid w:val="000B18A1"/>
    <w:rsid w:val="000B2057"/>
    <w:rsid w:val="000B2315"/>
    <w:rsid w:val="000B350D"/>
    <w:rsid w:val="000B37EC"/>
    <w:rsid w:val="000B4143"/>
    <w:rsid w:val="000B455D"/>
    <w:rsid w:val="000B49D7"/>
    <w:rsid w:val="000B4C0C"/>
    <w:rsid w:val="000B5043"/>
    <w:rsid w:val="000B5D29"/>
    <w:rsid w:val="000B5D65"/>
    <w:rsid w:val="000B6A6F"/>
    <w:rsid w:val="000B6B4E"/>
    <w:rsid w:val="000B71D2"/>
    <w:rsid w:val="000C07C8"/>
    <w:rsid w:val="000C0CB8"/>
    <w:rsid w:val="000C149E"/>
    <w:rsid w:val="000C2598"/>
    <w:rsid w:val="000C2AC1"/>
    <w:rsid w:val="000C2D7C"/>
    <w:rsid w:val="000C3E9A"/>
    <w:rsid w:val="000C3E9B"/>
    <w:rsid w:val="000C4401"/>
    <w:rsid w:val="000C466C"/>
    <w:rsid w:val="000C4CBF"/>
    <w:rsid w:val="000C523B"/>
    <w:rsid w:val="000C6551"/>
    <w:rsid w:val="000C6568"/>
    <w:rsid w:val="000C67BB"/>
    <w:rsid w:val="000D0134"/>
    <w:rsid w:val="000D131F"/>
    <w:rsid w:val="000D1778"/>
    <w:rsid w:val="000D238E"/>
    <w:rsid w:val="000D2A3F"/>
    <w:rsid w:val="000D2E0C"/>
    <w:rsid w:val="000D3062"/>
    <w:rsid w:val="000D38C4"/>
    <w:rsid w:val="000D3921"/>
    <w:rsid w:val="000D47C3"/>
    <w:rsid w:val="000D4CA8"/>
    <w:rsid w:val="000D4F9B"/>
    <w:rsid w:val="000D54C2"/>
    <w:rsid w:val="000D5A96"/>
    <w:rsid w:val="000D640E"/>
    <w:rsid w:val="000D693A"/>
    <w:rsid w:val="000D78D2"/>
    <w:rsid w:val="000D7953"/>
    <w:rsid w:val="000E0040"/>
    <w:rsid w:val="000E017A"/>
    <w:rsid w:val="000E0484"/>
    <w:rsid w:val="000E0C4E"/>
    <w:rsid w:val="000E1AD8"/>
    <w:rsid w:val="000E3827"/>
    <w:rsid w:val="000E4BBE"/>
    <w:rsid w:val="000E5B0D"/>
    <w:rsid w:val="000E5C59"/>
    <w:rsid w:val="000E653A"/>
    <w:rsid w:val="000E67E2"/>
    <w:rsid w:val="000E68BA"/>
    <w:rsid w:val="000E6A28"/>
    <w:rsid w:val="000E7379"/>
    <w:rsid w:val="000E7E7B"/>
    <w:rsid w:val="000E7F06"/>
    <w:rsid w:val="000F035A"/>
    <w:rsid w:val="000F0A58"/>
    <w:rsid w:val="000F0F2B"/>
    <w:rsid w:val="000F11D0"/>
    <w:rsid w:val="000F16E2"/>
    <w:rsid w:val="000F1C0E"/>
    <w:rsid w:val="000F208A"/>
    <w:rsid w:val="000F2670"/>
    <w:rsid w:val="000F2746"/>
    <w:rsid w:val="000F2A31"/>
    <w:rsid w:val="000F336A"/>
    <w:rsid w:val="000F33ED"/>
    <w:rsid w:val="000F3DB7"/>
    <w:rsid w:val="000F3DEA"/>
    <w:rsid w:val="000F52EB"/>
    <w:rsid w:val="000F5A3E"/>
    <w:rsid w:val="000F5E1A"/>
    <w:rsid w:val="000F63AE"/>
    <w:rsid w:val="000F7745"/>
    <w:rsid w:val="000F78CA"/>
    <w:rsid w:val="000F7AA6"/>
    <w:rsid w:val="00101286"/>
    <w:rsid w:val="0010230A"/>
    <w:rsid w:val="00102675"/>
    <w:rsid w:val="00102DD7"/>
    <w:rsid w:val="00104490"/>
    <w:rsid w:val="00104B0B"/>
    <w:rsid w:val="001061AB"/>
    <w:rsid w:val="00106A98"/>
    <w:rsid w:val="00106C17"/>
    <w:rsid w:val="001074E0"/>
    <w:rsid w:val="0010774C"/>
    <w:rsid w:val="001078CE"/>
    <w:rsid w:val="00110C3B"/>
    <w:rsid w:val="00110CCD"/>
    <w:rsid w:val="00111DB5"/>
    <w:rsid w:val="00112766"/>
    <w:rsid w:val="00112D0A"/>
    <w:rsid w:val="00114001"/>
    <w:rsid w:val="00114F0C"/>
    <w:rsid w:val="0011651A"/>
    <w:rsid w:val="0012195E"/>
    <w:rsid w:val="001226C7"/>
    <w:rsid w:val="001239E8"/>
    <w:rsid w:val="001242BE"/>
    <w:rsid w:val="00125190"/>
    <w:rsid w:val="001257E5"/>
    <w:rsid w:val="0012653B"/>
    <w:rsid w:val="0012740C"/>
    <w:rsid w:val="0012748C"/>
    <w:rsid w:val="0012783B"/>
    <w:rsid w:val="00127FC9"/>
    <w:rsid w:val="0013013C"/>
    <w:rsid w:val="001304E8"/>
    <w:rsid w:val="00130C4A"/>
    <w:rsid w:val="001313A7"/>
    <w:rsid w:val="00131E46"/>
    <w:rsid w:val="00132526"/>
    <w:rsid w:val="00132A80"/>
    <w:rsid w:val="00132ED2"/>
    <w:rsid w:val="0013493B"/>
    <w:rsid w:val="00134A6A"/>
    <w:rsid w:val="00134D3B"/>
    <w:rsid w:val="00134DD7"/>
    <w:rsid w:val="0013502C"/>
    <w:rsid w:val="00135371"/>
    <w:rsid w:val="00136B7D"/>
    <w:rsid w:val="00136BBF"/>
    <w:rsid w:val="00136E7D"/>
    <w:rsid w:val="001376F9"/>
    <w:rsid w:val="00140F0F"/>
    <w:rsid w:val="001411A8"/>
    <w:rsid w:val="001411E2"/>
    <w:rsid w:val="00141A3C"/>
    <w:rsid w:val="001427A6"/>
    <w:rsid w:val="00142A6D"/>
    <w:rsid w:val="001431FE"/>
    <w:rsid w:val="001440DE"/>
    <w:rsid w:val="00144474"/>
    <w:rsid w:val="00144573"/>
    <w:rsid w:val="00144DBA"/>
    <w:rsid w:val="0014635D"/>
    <w:rsid w:val="00146988"/>
    <w:rsid w:val="00146ADB"/>
    <w:rsid w:val="001478EE"/>
    <w:rsid w:val="0015089B"/>
    <w:rsid w:val="001522FE"/>
    <w:rsid w:val="001527C6"/>
    <w:rsid w:val="001539E8"/>
    <w:rsid w:val="00153CC8"/>
    <w:rsid w:val="001543AD"/>
    <w:rsid w:val="001568E0"/>
    <w:rsid w:val="00156DCB"/>
    <w:rsid w:val="001601DD"/>
    <w:rsid w:val="00160693"/>
    <w:rsid w:val="0016069A"/>
    <w:rsid w:val="00161073"/>
    <w:rsid w:val="001614FC"/>
    <w:rsid w:val="00161CC9"/>
    <w:rsid w:val="001627D8"/>
    <w:rsid w:val="0016349D"/>
    <w:rsid w:val="001635D5"/>
    <w:rsid w:val="0016381E"/>
    <w:rsid w:val="001643AB"/>
    <w:rsid w:val="00164A32"/>
    <w:rsid w:val="001650B0"/>
    <w:rsid w:val="00165A39"/>
    <w:rsid w:val="00166033"/>
    <w:rsid w:val="001673C0"/>
    <w:rsid w:val="00170311"/>
    <w:rsid w:val="0017048D"/>
    <w:rsid w:val="0017059E"/>
    <w:rsid w:val="001708C6"/>
    <w:rsid w:val="00170A23"/>
    <w:rsid w:val="00170C3D"/>
    <w:rsid w:val="00171465"/>
    <w:rsid w:val="00171900"/>
    <w:rsid w:val="00172129"/>
    <w:rsid w:val="001721BC"/>
    <w:rsid w:val="00172870"/>
    <w:rsid w:val="001734A7"/>
    <w:rsid w:val="001742ED"/>
    <w:rsid w:val="0017526D"/>
    <w:rsid w:val="00175468"/>
    <w:rsid w:val="0017572A"/>
    <w:rsid w:val="0017616E"/>
    <w:rsid w:val="0017627A"/>
    <w:rsid w:val="001768C9"/>
    <w:rsid w:val="00176B7D"/>
    <w:rsid w:val="001771CD"/>
    <w:rsid w:val="00177203"/>
    <w:rsid w:val="0017759E"/>
    <w:rsid w:val="001809EC"/>
    <w:rsid w:val="00181F06"/>
    <w:rsid w:val="00181FE4"/>
    <w:rsid w:val="001820D8"/>
    <w:rsid w:val="0018268C"/>
    <w:rsid w:val="001834B4"/>
    <w:rsid w:val="00183A68"/>
    <w:rsid w:val="00185220"/>
    <w:rsid w:val="001855D9"/>
    <w:rsid w:val="00185EDF"/>
    <w:rsid w:val="0018625C"/>
    <w:rsid w:val="00186419"/>
    <w:rsid w:val="00186E01"/>
    <w:rsid w:val="001872E6"/>
    <w:rsid w:val="00187941"/>
    <w:rsid w:val="00190D45"/>
    <w:rsid w:val="001911B0"/>
    <w:rsid w:val="00191378"/>
    <w:rsid w:val="00191390"/>
    <w:rsid w:val="00191C3C"/>
    <w:rsid w:val="00191F08"/>
    <w:rsid w:val="00193A91"/>
    <w:rsid w:val="001942ED"/>
    <w:rsid w:val="00194526"/>
    <w:rsid w:val="00194846"/>
    <w:rsid w:val="001953EB"/>
    <w:rsid w:val="00196000"/>
    <w:rsid w:val="00196079"/>
    <w:rsid w:val="00196202"/>
    <w:rsid w:val="0019631A"/>
    <w:rsid w:val="0019643E"/>
    <w:rsid w:val="0019648B"/>
    <w:rsid w:val="00196AC1"/>
    <w:rsid w:val="001974DA"/>
    <w:rsid w:val="0019766C"/>
    <w:rsid w:val="00197FF3"/>
    <w:rsid w:val="001A039A"/>
    <w:rsid w:val="001A104E"/>
    <w:rsid w:val="001A10B1"/>
    <w:rsid w:val="001A239B"/>
    <w:rsid w:val="001A2564"/>
    <w:rsid w:val="001A31E9"/>
    <w:rsid w:val="001A42A6"/>
    <w:rsid w:val="001A468D"/>
    <w:rsid w:val="001A485F"/>
    <w:rsid w:val="001A4A2D"/>
    <w:rsid w:val="001A4DCD"/>
    <w:rsid w:val="001A5281"/>
    <w:rsid w:val="001A6031"/>
    <w:rsid w:val="001A6ADA"/>
    <w:rsid w:val="001A6FF3"/>
    <w:rsid w:val="001A72FF"/>
    <w:rsid w:val="001A75E7"/>
    <w:rsid w:val="001A7AB3"/>
    <w:rsid w:val="001B0D5F"/>
    <w:rsid w:val="001B0FD2"/>
    <w:rsid w:val="001B1BD0"/>
    <w:rsid w:val="001B2977"/>
    <w:rsid w:val="001B2D28"/>
    <w:rsid w:val="001B3378"/>
    <w:rsid w:val="001B36F8"/>
    <w:rsid w:val="001B3C19"/>
    <w:rsid w:val="001B466F"/>
    <w:rsid w:val="001B4DD1"/>
    <w:rsid w:val="001B514C"/>
    <w:rsid w:val="001B54F2"/>
    <w:rsid w:val="001B5BFD"/>
    <w:rsid w:val="001B674E"/>
    <w:rsid w:val="001B6DC2"/>
    <w:rsid w:val="001B71DA"/>
    <w:rsid w:val="001B7AF4"/>
    <w:rsid w:val="001C0360"/>
    <w:rsid w:val="001C089D"/>
    <w:rsid w:val="001C1419"/>
    <w:rsid w:val="001C196A"/>
    <w:rsid w:val="001C1AEE"/>
    <w:rsid w:val="001C27BF"/>
    <w:rsid w:val="001C2A42"/>
    <w:rsid w:val="001C2AFF"/>
    <w:rsid w:val="001C2C58"/>
    <w:rsid w:val="001C35FD"/>
    <w:rsid w:val="001C3D8A"/>
    <w:rsid w:val="001C3FB5"/>
    <w:rsid w:val="001C410A"/>
    <w:rsid w:val="001C4AE0"/>
    <w:rsid w:val="001C57F2"/>
    <w:rsid w:val="001C5CC6"/>
    <w:rsid w:val="001C6463"/>
    <w:rsid w:val="001C65EE"/>
    <w:rsid w:val="001C6AB7"/>
    <w:rsid w:val="001C71FB"/>
    <w:rsid w:val="001D0A72"/>
    <w:rsid w:val="001D1413"/>
    <w:rsid w:val="001D1FA4"/>
    <w:rsid w:val="001D24BB"/>
    <w:rsid w:val="001D3720"/>
    <w:rsid w:val="001D454C"/>
    <w:rsid w:val="001D499D"/>
    <w:rsid w:val="001D4B8E"/>
    <w:rsid w:val="001D4FFE"/>
    <w:rsid w:val="001D518D"/>
    <w:rsid w:val="001D5BB2"/>
    <w:rsid w:val="001D5D32"/>
    <w:rsid w:val="001D5FE8"/>
    <w:rsid w:val="001D65BF"/>
    <w:rsid w:val="001D6AF3"/>
    <w:rsid w:val="001D6D48"/>
    <w:rsid w:val="001D70D9"/>
    <w:rsid w:val="001D7EFE"/>
    <w:rsid w:val="001E0792"/>
    <w:rsid w:val="001E0BD4"/>
    <w:rsid w:val="001E1184"/>
    <w:rsid w:val="001E13BE"/>
    <w:rsid w:val="001E19E3"/>
    <w:rsid w:val="001E2ADF"/>
    <w:rsid w:val="001E2D2A"/>
    <w:rsid w:val="001E2FA0"/>
    <w:rsid w:val="001E31B3"/>
    <w:rsid w:val="001E3743"/>
    <w:rsid w:val="001E441C"/>
    <w:rsid w:val="001E44E4"/>
    <w:rsid w:val="001E486C"/>
    <w:rsid w:val="001E49D1"/>
    <w:rsid w:val="001E56E2"/>
    <w:rsid w:val="001E5893"/>
    <w:rsid w:val="001E5A72"/>
    <w:rsid w:val="001E681A"/>
    <w:rsid w:val="001E6FE1"/>
    <w:rsid w:val="001E7195"/>
    <w:rsid w:val="001E71BE"/>
    <w:rsid w:val="001E7AC4"/>
    <w:rsid w:val="001E7FFD"/>
    <w:rsid w:val="001F07E7"/>
    <w:rsid w:val="001F1553"/>
    <w:rsid w:val="001F2AD7"/>
    <w:rsid w:val="001F32A3"/>
    <w:rsid w:val="001F3699"/>
    <w:rsid w:val="001F3F7D"/>
    <w:rsid w:val="001F3FBC"/>
    <w:rsid w:val="001F4ACA"/>
    <w:rsid w:val="001F4C29"/>
    <w:rsid w:val="001F6157"/>
    <w:rsid w:val="001F61B7"/>
    <w:rsid w:val="001F6719"/>
    <w:rsid w:val="001F6FC3"/>
    <w:rsid w:val="00200697"/>
    <w:rsid w:val="00200979"/>
    <w:rsid w:val="00201C28"/>
    <w:rsid w:val="00202473"/>
    <w:rsid w:val="0020326D"/>
    <w:rsid w:val="0020331E"/>
    <w:rsid w:val="00203A2C"/>
    <w:rsid w:val="00203C74"/>
    <w:rsid w:val="00203CC1"/>
    <w:rsid w:val="002040CF"/>
    <w:rsid w:val="00204B04"/>
    <w:rsid w:val="00204FB0"/>
    <w:rsid w:val="0020559A"/>
    <w:rsid w:val="00206A32"/>
    <w:rsid w:val="00207AC3"/>
    <w:rsid w:val="00207EA4"/>
    <w:rsid w:val="00210A46"/>
    <w:rsid w:val="00210D89"/>
    <w:rsid w:val="002114A6"/>
    <w:rsid w:val="00211CE3"/>
    <w:rsid w:val="00212456"/>
    <w:rsid w:val="002131D6"/>
    <w:rsid w:val="00213466"/>
    <w:rsid w:val="00213756"/>
    <w:rsid w:val="00213831"/>
    <w:rsid w:val="00214653"/>
    <w:rsid w:val="002148DD"/>
    <w:rsid w:val="00214CD8"/>
    <w:rsid w:val="002151D8"/>
    <w:rsid w:val="00215AB9"/>
    <w:rsid w:val="002160ED"/>
    <w:rsid w:val="0021698D"/>
    <w:rsid w:val="00216FD9"/>
    <w:rsid w:val="002172D3"/>
    <w:rsid w:val="002173C0"/>
    <w:rsid w:val="00217775"/>
    <w:rsid w:val="00217FE0"/>
    <w:rsid w:val="002208C0"/>
    <w:rsid w:val="00222720"/>
    <w:rsid w:val="00223116"/>
    <w:rsid w:val="002258B8"/>
    <w:rsid w:val="00225FEC"/>
    <w:rsid w:val="00226B25"/>
    <w:rsid w:val="00226CCE"/>
    <w:rsid w:val="00226DC8"/>
    <w:rsid w:val="002277B3"/>
    <w:rsid w:val="00227C5C"/>
    <w:rsid w:val="00227CEA"/>
    <w:rsid w:val="002304AE"/>
    <w:rsid w:val="00230D5F"/>
    <w:rsid w:val="00231ADC"/>
    <w:rsid w:val="00231D04"/>
    <w:rsid w:val="0023233A"/>
    <w:rsid w:val="002327BC"/>
    <w:rsid w:val="00232D73"/>
    <w:rsid w:val="0023398F"/>
    <w:rsid w:val="002346B1"/>
    <w:rsid w:val="002347ED"/>
    <w:rsid w:val="00234B63"/>
    <w:rsid w:val="00234D31"/>
    <w:rsid w:val="002352EA"/>
    <w:rsid w:val="00235487"/>
    <w:rsid w:val="00235568"/>
    <w:rsid w:val="00235664"/>
    <w:rsid w:val="002358C5"/>
    <w:rsid w:val="00235A41"/>
    <w:rsid w:val="00235D43"/>
    <w:rsid w:val="0023615F"/>
    <w:rsid w:val="00236E5A"/>
    <w:rsid w:val="0023737F"/>
    <w:rsid w:val="002374AE"/>
    <w:rsid w:val="00237F6D"/>
    <w:rsid w:val="00240440"/>
    <w:rsid w:val="00240612"/>
    <w:rsid w:val="002407EF"/>
    <w:rsid w:val="00240BF2"/>
    <w:rsid w:val="00240D6F"/>
    <w:rsid w:val="00240FA6"/>
    <w:rsid w:val="0024135A"/>
    <w:rsid w:val="00241E49"/>
    <w:rsid w:val="00242C86"/>
    <w:rsid w:val="00242E94"/>
    <w:rsid w:val="0024353D"/>
    <w:rsid w:val="00244619"/>
    <w:rsid w:val="002447D0"/>
    <w:rsid w:val="00244E72"/>
    <w:rsid w:val="00245339"/>
    <w:rsid w:val="002458F4"/>
    <w:rsid w:val="002465E6"/>
    <w:rsid w:val="00246759"/>
    <w:rsid w:val="00246C3E"/>
    <w:rsid w:val="00246DD4"/>
    <w:rsid w:val="00247A0E"/>
    <w:rsid w:val="00247DAC"/>
    <w:rsid w:val="00250E3F"/>
    <w:rsid w:val="002516A1"/>
    <w:rsid w:val="002519C2"/>
    <w:rsid w:val="00251DED"/>
    <w:rsid w:val="00251FF9"/>
    <w:rsid w:val="002524C8"/>
    <w:rsid w:val="002530C9"/>
    <w:rsid w:val="002535CE"/>
    <w:rsid w:val="002557E1"/>
    <w:rsid w:val="00255986"/>
    <w:rsid w:val="00255C65"/>
    <w:rsid w:val="00255F71"/>
    <w:rsid w:val="00256F21"/>
    <w:rsid w:val="002600A2"/>
    <w:rsid w:val="002608B1"/>
    <w:rsid w:val="00261A99"/>
    <w:rsid w:val="00262FFD"/>
    <w:rsid w:val="0026364D"/>
    <w:rsid w:val="00263CA3"/>
    <w:rsid w:val="002654D4"/>
    <w:rsid w:val="00265872"/>
    <w:rsid w:val="00265E18"/>
    <w:rsid w:val="00265F0A"/>
    <w:rsid w:val="00265FF5"/>
    <w:rsid w:val="002661C9"/>
    <w:rsid w:val="002723B8"/>
    <w:rsid w:val="00272523"/>
    <w:rsid w:val="00272DA4"/>
    <w:rsid w:val="00273652"/>
    <w:rsid w:val="002739D6"/>
    <w:rsid w:val="00274019"/>
    <w:rsid w:val="002750DF"/>
    <w:rsid w:val="0027515E"/>
    <w:rsid w:val="002752AA"/>
    <w:rsid w:val="002754EF"/>
    <w:rsid w:val="00275CB1"/>
    <w:rsid w:val="002767AE"/>
    <w:rsid w:val="002771D2"/>
    <w:rsid w:val="002779DA"/>
    <w:rsid w:val="00277FD9"/>
    <w:rsid w:val="00280504"/>
    <w:rsid w:val="00280771"/>
    <w:rsid w:val="00280C84"/>
    <w:rsid w:val="002818E7"/>
    <w:rsid w:val="00281B2B"/>
    <w:rsid w:val="00281C18"/>
    <w:rsid w:val="002830AC"/>
    <w:rsid w:val="00283465"/>
    <w:rsid w:val="00283579"/>
    <w:rsid w:val="002835D0"/>
    <w:rsid w:val="002839D2"/>
    <w:rsid w:val="00283A67"/>
    <w:rsid w:val="00283E7B"/>
    <w:rsid w:val="0028481F"/>
    <w:rsid w:val="00284E7F"/>
    <w:rsid w:val="0028529F"/>
    <w:rsid w:val="0028798E"/>
    <w:rsid w:val="002903B3"/>
    <w:rsid w:val="00290B0E"/>
    <w:rsid w:val="002914D3"/>
    <w:rsid w:val="00292134"/>
    <w:rsid w:val="0029216B"/>
    <w:rsid w:val="00292A04"/>
    <w:rsid w:val="0029371B"/>
    <w:rsid w:val="0029416F"/>
    <w:rsid w:val="0029446B"/>
    <w:rsid w:val="00294695"/>
    <w:rsid w:val="0029534B"/>
    <w:rsid w:val="00295E89"/>
    <w:rsid w:val="00296551"/>
    <w:rsid w:val="002967E2"/>
    <w:rsid w:val="002978E0"/>
    <w:rsid w:val="00297CCA"/>
    <w:rsid w:val="002A0F7C"/>
    <w:rsid w:val="002A12BC"/>
    <w:rsid w:val="002A1692"/>
    <w:rsid w:val="002A1B6A"/>
    <w:rsid w:val="002A2774"/>
    <w:rsid w:val="002A37BA"/>
    <w:rsid w:val="002A40E3"/>
    <w:rsid w:val="002A43FF"/>
    <w:rsid w:val="002A4416"/>
    <w:rsid w:val="002A4AFB"/>
    <w:rsid w:val="002A4D46"/>
    <w:rsid w:val="002A4F76"/>
    <w:rsid w:val="002A6A7F"/>
    <w:rsid w:val="002A71BF"/>
    <w:rsid w:val="002A7486"/>
    <w:rsid w:val="002A7882"/>
    <w:rsid w:val="002A7B9F"/>
    <w:rsid w:val="002B00C6"/>
    <w:rsid w:val="002B063B"/>
    <w:rsid w:val="002B0FD5"/>
    <w:rsid w:val="002B1B74"/>
    <w:rsid w:val="002B1BBE"/>
    <w:rsid w:val="002B1FF3"/>
    <w:rsid w:val="002B23D0"/>
    <w:rsid w:val="002B2D0E"/>
    <w:rsid w:val="002B2F53"/>
    <w:rsid w:val="002B315D"/>
    <w:rsid w:val="002B3828"/>
    <w:rsid w:val="002B4A8F"/>
    <w:rsid w:val="002B4EAE"/>
    <w:rsid w:val="002B5587"/>
    <w:rsid w:val="002B66BB"/>
    <w:rsid w:val="002B705F"/>
    <w:rsid w:val="002B7687"/>
    <w:rsid w:val="002C06F7"/>
    <w:rsid w:val="002C08B2"/>
    <w:rsid w:val="002C0C3E"/>
    <w:rsid w:val="002C2E33"/>
    <w:rsid w:val="002C3035"/>
    <w:rsid w:val="002C3473"/>
    <w:rsid w:val="002C3C73"/>
    <w:rsid w:val="002C3F46"/>
    <w:rsid w:val="002C4BDC"/>
    <w:rsid w:val="002C4CE6"/>
    <w:rsid w:val="002C6637"/>
    <w:rsid w:val="002C66A8"/>
    <w:rsid w:val="002C66DB"/>
    <w:rsid w:val="002C787C"/>
    <w:rsid w:val="002D0144"/>
    <w:rsid w:val="002D0ACA"/>
    <w:rsid w:val="002D106C"/>
    <w:rsid w:val="002D22D5"/>
    <w:rsid w:val="002D2403"/>
    <w:rsid w:val="002D31D9"/>
    <w:rsid w:val="002D41A1"/>
    <w:rsid w:val="002D49D6"/>
    <w:rsid w:val="002D50A3"/>
    <w:rsid w:val="002D51AE"/>
    <w:rsid w:val="002D59A7"/>
    <w:rsid w:val="002D65C6"/>
    <w:rsid w:val="002D6654"/>
    <w:rsid w:val="002D67E0"/>
    <w:rsid w:val="002D76ED"/>
    <w:rsid w:val="002E1609"/>
    <w:rsid w:val="002E1E75"/>
    <w:rsid w:val="002E201A"/>
    <w:rsid w:val="002E220A"/>
    <w:rsid w:val="002E23BB"/>
    <w:rsid w:val="002E2DD8"/>
    <w:rsid w:val="002E35C7"/>
    <w:rsid w:val="002E3776"/>
    <w:rsid w:val="002E37B4"/>
    <w:rsid w:val="002E3DA6"/>
    <w:rsid w:val="002E4389"/>
    <w:rsid w:val="002E43DB"/>
    <w:rsid w:val="002E4B5C"/>
    <w:rsid w:val="002E4DBD"/>
    <w:rsid w:val="002E5460"/>
    <w:rsid w:val="002E5762"/>
    <w:rsid w:val="002E58CC"/>
    <w:rsid w:val="002E68D4"/>
    <w:rsid w:val="002E7EDB"/>
    <w:rsid w:val="002F0721"/>
    <w:rsid w:val="002F25FC"/>
    <w:rsid w:val="002F2955"/>
    <w:rsid w:val="002F449F"/>
    <w:rsid w:val="002F6490"/>
    <w:rsid w:val="00300385"/>
    <w:rsid w:val="003005AE"/>
    <w:rsid w:val="003015B6"/>
    <w:rsid w:val="0030223D"/>
    <w:rsid w:val="00303069"/>
    <w:rsid w:val="00303676"/>
    <w:rsid w:val="0030373A"/>
    <w:rsid w:val="003039F4"/>
    <w:rsid w:val="00303B0B"/>
    <w:rsid w:val="00303D77"/>
    <w:rsid w:val="00304BF5"/>
    <w:rsid w:val="00306766"/>
    <w:rsid w:val="00307F7A"/>
    <w:rsid w:val="00310389"/>
    <w:rsid w:val="00310952"/>
    <w:rsid w:val="00310AC9"/>
    <w:rsid w:val="00310D91"/>
    <w:rsid w:val="00312627"/>
    <w:rsid w:val="003130DE"/>
    <w:rsid w:val="00313859"/>
    <w:rsid w:val="00313BB1"/>
    <w:rsid w:val="00313D76"/>
    <w:rsid w:val="00315909"/>
    <w:rsid w:val="00316678"/>
    <w:rsid w:val="0031697A"/>
    <w:rsid w:val="00317730"/>
    <w:rsid w:val="00317FE2"/>
    <w:rsid w:val="00321591"/>
    <w:rsid w:val="00322068"/>
    <w:rsid w:val="0032274B"/>
    <w:rsid w:val="00322903"/>
    <w:rsid w:val="00322BB5"/>
    <w:rsid w:val="00322CAF"/>
    <w:rsid w:val="00323CD1"/>
    <w:rsid w:val="00323E83"/>
    <w:rsid w:val="00326526"/>
    <w:rsid w:val="0033053F"/>
    <w:rsid w:val="00330935"/>
    <w:rsid w:val="00330987"/>
    <w:rsid w:val="00331261"/>
    <w:rsid w:val="00331432"/>
    <w:rsid w:val="00332130"/>
    <w:rsid w:val="0033227C"/>
    <w:rsid w:val="00332549"/>
    <w:rsid w:val="00333081"/>
    <w:rsid w:val="00333717"/>
    <w:rsid w:val="003340AE"/>
    <w:rsid w:val="00334D14"/>
    <w:rsid w:val="00335EEB"/>
    <w:rsid w:val="0033683F"/>
    <w:rsid w:val="0033716D"/>
    <w:rsid w:val="00337B1A"/>
    <w:rsid w:val="00337B4F"/>
    <w:rsid w:val="00337E42"/>
    <w:rsid w:val="003400C5"/>
    <w:rsid w:val="0034014D"/>
    <w:rsid w:val="00340B47"/>
    <w:rsid w:val="00340CA4"/>
    <w:rsid w:val="00341121"/>
    <w:rsid w:val="00341253"/>
    <w:rsid w:val="00341967"/>
    <w:rsid w:val="003419F6"/>
    <w:rsid w:val="00341B40"/>
    <w:rsid w:val="00342312"/>
    <w:rsid w:val="00343AF6"/>
    <w:rsid w:val="00344D54"/>
    <w:rsid w:val="00345147"/>
    <w:rsid w:val="00345726"/>
    <w:rsid w:val="003467AD"/>
    <w:rsid w:val="00346879"/>
    <w:rsid w:val="003470E2"/>
    <w:rsid w:val="0034778F"/>
    <w:rsid w:val="0035009C"/>
    <w:rsid w:val="0035012D"/>
    <w:rsid w:val="003510D9"/>
    <w:rsid w:val="00351AFA"/>
    <w:rsid w:val="003529ED"/>
    <w:rsid w:val="00352F1D"/>
    <w:rsid w:val="00353186"/>
    <w:rsid w:val="00353304"/>
    <w:rsid w:val="00353411"/>
    <w:rsid w:val="00353DCF"/>
    <w:rsid w:val="00353E1E"/>
    <w:rsid w:val="0035434E"/>
    <w:rsid w:val="00354A79"/>
    <w:rsid w:val="00354B0F"/>
    <w:rsid w:val="00355148"/>
    <w:rsid w:val="00355CB4"/>
    <w:rsid w:val="00356464"/>
    <w:rsid w:val="003566E0"/>
    <w:rsid w:val="003574B0"/>
    <w:rsid w:val="00357C62"/>
    <w:rsid w:val="003608DE"/>
    <w:rsid w:val="003610D7"/>
    <w:rsid w:val="00362634"/>
    <w:rsid w:val="0036303B"/>
    <w:rsid w:val="00363CE4"/>
    <w:rsid w:val="00364B59"/>
    <w:rsid w:val="00364BAE"/>
    <w:rsid w:val="00364DD6"/>
    <w:rsid w:val="003655C3"/>
    <w:rsid w:val="0036568C"/>
    <w:rsid w:val="003674F6"/>
    <w:rsid w:val="00367BFE"/>
    <w:rsid w:val="0037032C"/>
    <w:rsid w:val="00370C3E"/>
    <w:rsid w:val="00370DDA"/>
    <w:rsid w:val="00370E82"/>
    <w:rsid w:val="003710B1"/>
    <w:rsid w:val="00371953"/>
    <w:rsid w:val="00371AEE"/>
    <w:rsid w:val="00372B98"/>
    <w:rsid w:val="00373406"/>
    <w:rsid w:val="00373D26"/>
    <w:rsid w:val="003742B5"/>
    <w:rsid w:val="00374ABD"/>
    <w:rsid w:val="00376A57"/>
    <w:rsid w:val="00376B70"/>
    <w:rsid w:val="00376CFF"/>
    <w:rsid w:val="00377705"/>
    <w:rsid w:val="00377B7A"/>
    <w:rsid w:val="00377E37"/>
    <w:rsid w:val="003802C1"/>
    <w:rsid w:val="00380D53"/>
    <w:rsid w:val="00381268"/>
    <w:rsid w:val="003816E5"/>
    <w:rsid w:val="0038357B"/>
    <w:rsid w:val="00383834"/>
    <w:rsid w:val="003842E8"/>
    <w:rsid w:val="00384FED"/>
    <w:rsid w:val="00390A4D"/>
    <w:rsid w:val="00390C97"/>
    <w:rsid w:val="00390F85"/>
    <w:rsid w:val="0039117E"/>
    <w:rsid w:val="0039139F"/>
    <w:rsid w:val="003915B2"/>
    <w:rsid w:val="00391A76"/>
    <w:rsid w:val="0039235C"/>
    <w:rsid w:val="00392DCA"/>
    <w:rsid w:val="0039378E"/>
    <w:rsid w:val="003939E3"/>
    <w:rsid w:val="003946B7"/>
    <w:rsid w:val="0039476E"/>
    <w:rsid w:val="0039498E"/>
    <w:rsid w:val="003951DC"/>
    <w:rsid w:val="00396899"/>
    <w:rsid w:val="00396E4C"/>
    <w:rsid w:val="003A0B8F"/>
    <w:rsid w:val="003A0E7A"/>
    <w:rsid w:val="003A1A17"/>
    <w:rsid w:val="003A2263"/>
    <w:rsid w:val="003A2332"/>
    <w:rsid w:val="003A2B55"/>
    <w:rsid w:val="003A3694"/>
    <w:rsid w:val="003A41E5"/>
    <w:rsid w:val="003A4436"/>
    <w:rsid w:val="003A46FB"/>
    <w:rsid w:val="003A490C"/>
    <w:rsid w:val="003A5BFF"/>
    <w:rsid w:val="003A63AA"/>
    <w:rsid w:val="003A69E1"/>
    <w:rsid w:val="003A7027"/>
    <w:rsid w:val="003A779A"/>
    <w:rsid w:val="003B0052"/>
    <w:rsid w:val="003B0098"/>
    <w:rsid w:val="003B02F2"/>
    <w:rsid w:val="003B155E"/>
    <w:rsid w:val="003B1EA7"/>
    <w:rsid w:val="003B1FCF"/>
    <w:rsid w:val="003B245C"/>
    <w:rsid w:val="003B2715"/>
    <w:rsid w:val="003B2BAC"/>
    <w:rsid w:val="003B3B51"/>
    <w:rsid w:val="003B3D4F"/>
    <w:rsid w:val="003B428C"/>
    <w:rsid w:val="003B43C2"/>
    <w:rsid w:val="003B457C"/>
    <w:rsid w:val="003B526D"/>
    <w:rsid w:val="003B5620"/>
    <w:rsid w:val="003B5DCD"/>
    <w:rsid w:val="003B5F92"/>
    <w:rsid w:val="003B66D4"/>
    <w:rsid w:val="003B6BB3"/>
    <w:rsid w:val="003B6E7E"/>
    <w:rsid w:val="003B70FF"/>
    <w:rsid w:val="003B7634"/>
    <w:rsid w:val="003B7BD8"/>
    <w:rsid w:val="003C0FED"/>
    <w:rsid w:val="003C18CB"/>
    <w:rsid w:val="003C1971"/>
    <w:rsid w:val="003C23E4"/>
    <w:rsid w:val="003C27A7"/>
    <w:rsid w:val="003C2D85"/>
    <w:rsid w:val="003C3B38"/>
    <w:rsid w:val="003C4008"/>
    <w:rsid w:val="003C44A1"/>
    <w:rsid w:val="003C5B2E"/>
    <w:rsid w:val="003C5E87"/>
    <w:rsid w:val="003C6560"/>
    <w:rsid w:val="003C66CF"/>
    <w:rsid w:val="003C6C72"/>
    <w:rsid w:val="003C74E8"/>
    <w:rsid w:val="003C7969"/>
    <w:rsid w:val="003C7993"/>
    <w:rsid w:val="003C7A0A"/>
    <w:rsid w:val="003D017C"/>
    <w:rsid w:val="003D0A05"/>
    <w:rsid w:val="003D14AF"/>
    <w:rsid w:val="003D14EC"/>
    <w:rsid w:val="003D19F6"/>
    <w:rsid w:val="003D2168"/>
    <w:rsid w:val="003D2B80"/>
    <w:rsid w:val="003D2FD8"/>
    <w:rsid w:val="003D4AC1"/>
    <w:rsid w:val="003D53EF"/>
    <w:rsid w:val="003D590C"/>
    <w:rsid w:val="003D5B38"/>
    <w:rsid w:val="003D6245"/>
    <w:rsid w:val="003D65AB"/>
    <w:rsid w:val="003D708E"/>
    <w:rsid w:val="003D7BF8"/>
    <w:rsid w:val="003E01D6"/>
    <w:rsid w:val="003E03A2"/>
    <w:rsid w:val="003E07DE"/>
    <w:rsid w:val="003E1618"/>
    <w:rsid w:val="003E165B"/>
    <w:rsid w:val="003E183A"/>
    <w:rsid w:val="003E1B60"/>
    <w:rsid w:val="003E2D4D"/>
    <w:rsid w:val="003E2DBE"/>
    <w:rsid w:val="003E3344"/>
    <w:rsid w:val="003E4477"/>
    <w:rsid w:val="003E4FC3"/>
    <w:rsid w:val="003E6303"/>
    <w:rsid w:val="003E6671"/>
    <w:rsid w:val="003E7505"/>
    <w:rsid w:val="003E753B"/>
    <w:rsid w:val="003E7978"/>
    <w:rsid w:val="003E79F7"/>
    <w:rsid w:val="003F005C"/>
    <w:rsid w:val="003F0138"/>
    <w:rsid w:val="003F0611"/>
    <w:rsid w:val="003F07D0"/>
    <w:rsid w:val="003F0884"/>
    <w:rsid w:val="003F08EC"/>
    <w:rsid w:val="003F13C1"/>
    <w:rsid w:val="003F1B1C"/>
    <w:rsid w:val="003F1C60"/>
    <w:rsid w:val="003F24FE"/>
    <w:rsid w:val="003F26E4"/>
    <w:rsid w:val="003F2E7D"/>
    <w:rsid w:val="003F2F94"/>
    <w:rsid w:val="003F434C"/>
    <w:rsid w:val="003F47C7"/>
    <w:rsid w:val="003F516B"/>
    <w:rsid w:val="003F5D17"/>
    <w:rsid w:val="003F66CE"/>
    <w:rsid w:val="003F7527"/>
    <w:rsid w:val="003F7689"/>
    <w:rsid w:val="0040073F"/>
    <w:rsid w:val="00400EBD"/>
    <w:rsid w:val="004026C3"/>
    <w:rsid w:val="00402E25"/>
    <w:rsid w:val="0040452B"/>
    <w:rsid w:val="004046F3"/>
    <w:rsid w:val="00404C31"/>
    <w:rsid w:val="00404CA3"/>
    <w:rsid w:val="00404D61"/>
    <w:rsid w:val="00405C1D"/>
    <w:rsid w:val="00405D0D"/>
    <w:rsid w:val="004067B9"/>
    <w:rsid w:val="00407209"/>
    <w:rsid w:val="00410E5D"/>
    <w:rsid w:val="00412175"/>
    <w:rsid w:val="004129F2"/>
    <w:rsid w:val="004133F2"/>
    <w:rsid w:val="00415B61"/>
    <w:rsid w:val="004167A3"/>
    <w:rsid w:val="0041744E"/>
    <w:rsid w:val="004179D5"/>
    <w:rsid w:val="00420545"/>
    <w:rsid w:val="00421487"/>
    <w:rsid w:val="00421564"/>
    <w:rsid w:val="00422943"/>
    <w:rsid w:val="00422ED7"/>
    <w:rsid w:val="0042344E"/>
    <w:rsid w:val="0042508E"/>
    <w:rsid w:val="00425751"/>
    <w:rsid w:val="004259D8"/>
    <w:rsid w:val="00426858"/>
    <w:rsid w:val="00426A66"/>
    <w:rsid w:val="00426BEF"/>
    <w:rsid w:val="00426FF8"/>
    <w:rsid w:val="00427DB9"/>
    <w:rsid w:val="00430B55"/>
    <w:rsid w:val="004313AF"/>
    <w:rsid w:val="00431623"/>
    <w:rsid w:val="00431C29"/>
    <w:rsid w:val="0043246C"/>
    <w:rsid w:val="00432769"/>
    <w:rsid w:val="00432A96"/>
    <w:rsid w:val="004339AA"/>
    <w:rsid w:val="004346F4"/>
    <w:rsid w:val="00434C56"/>
    <w:rsid w:val="00434DE1"/>
    <w:rsid w:val="004355F8"/>
    <w:rsid w:val="0043608D"/>
    <w:rsid w:val="00437002"/>
    <w:rsid w:val="004372B2"/>
    <w:rsid w:val="00437316"/>
    <w:rsid w:val="00437B29"/>
    <w:rsid w:val="004412E2"/>
    <w:rsid w:val="0044142A"/>
    <w:rsid w:val="004415E2"/>
    <w:rsid w:val="004425A1"/>
    <w:rsid w:val="004429A4"/>
    <w:rsid w:val="00443B57"/>
    <w:rsid w:val="00444569"/>
    <w:rsid w:val="00444DE3"/>
    <w:rsid w:val="004454FC"/>
    <w:rsid w:val="0044662A"/>
    <w:rsid w:val="0044741A"/>
    <w:rsid w:val="004475BD"/>
    <w:rsid w:val="00447631"/>
    <w:rsid w:val="00450E64"/>
    <w:rsid w:val="00450EA6"/>
    <w:rsid w:val="004514DB"/>
    <w:rsid w:val="00451583"/>
    <w:rsid w:val="00451C86"/>
    <w:rsid w:val="00451CB7"/>
    <w:rsid w:val="00451D2D"/>
    <w:rsid w:val="00452375"/>
    <w:rsid w:val="0045274A"/>
    <w:rsid w:val="004528E0"/>
    <w:rsid w:val="00452C8F"/>
    <w:rsid w:val="00452D37"/>
    <w:rsid w:val="00453DD2"/>
    <w:rsid w:val="00453FFE"/>
    <w:rsid w:val="004543E5"/>
    <w:rsid w:val="00454763"/>
    <w:rsid w:val="00455A2F"/>
    <w:rsid w:val="00455D09"/>
    <w:rsid w:val="00455D38"/>
    <w:rsid w:val="00455F4D"/>
    <w:rsid w:val="00456695"/>
    <w:rsid w:val="00456A7E"/>
    <w:rsid w:val="00456D0D"/>
    <w:rsid w:val="00456D8B"/>
    <w:rsid w:val="00457354"/>
    <w:rsid w:val="00457B1E"/>
    <w:rsid w:val="00457D2E"/>
    <w:rsid w:val="004603E6"/>
    <w:rsid w:val="0046069A"/>
    <w:rsid w:val="004622D5"/>
    <w:rsid w:val="00462761"/>
    <w:rsid w:val="00462B1F"/>
    <w:rsid w:val="00462FB5"/>
    <w:rsid w:val="004647FF"/>
    <w:rsid w:val="0046499D"/>
    <w:rsid w:val="00464C4C"/>
    <w:rsid w:val="00465238"/>
    <w:rsid w:val="004653FC"/>
    <w:rsid w:val="004659B4"/>
    <w:rsid w:val="0046785C"/>
    <w:rsid w:val="00467969"/>
    <w:rsid w:val="00467A56"/>
    <w:rsid w:val="00467AD0"/>
    <w:rsid w:val="00470072"/>
    <w:rsid w:val="0047048C"/>
    <w:rsid w:val="00470B11"/>
    <w:rsid w:val="00470B74"/>
    <w:rsid w:val="00470F96"/>
    <w:rsid w:val="004714C6"/>
    <w:rsid w:val="00471670"/>
    <w:rsid w:val="00471D48"/>
    <w:rsid w:val="00472163"/>
    <w:rsid w:val="0047226E"/>
    <w:rsid w:val="0047285F"/>
    <w:rsid w:val="00473ABB"/>
    <w:rsid w:val="00473D33"/>
    <w:rsid w:val="004742FC"/>
    <w:rsid w:val="004746FB"/>
    <w:rsid w:val="0047495B"/>
    <w:rsid w:val="00475C93"/>
    <w:rsid w:val="00475DC7"/>
    <w:rsid w:val="0047690B"/>
    <w:rsid w:val="00476A7E"/>
    <w:rsid w:val="00477105"/>
    <w:rsid w:val="0048057F"/>
    <w:rsid w:val="004813CB"/>
    <w:rsid w:val="0048301C"/>
    <w:rsid w:val="004831C5"/>
    <w:rsid w:val="00483296"/>
    <w:rsid w:val="00484004"/>
    <w:rsid w:val="004844F5"/>
    <w:rsid w:val="00485101"/>
    <w:rsid w:val="0048569A"/>
    <w:rsid w:val="00485F61"/>
    <w:rsid w:val="00486DD7"/>
    <w:rsid w:val="0048706A"/>
    <w:rsid w:val="00487073"/>
    <w:rsid w:val="0048712C"/>
    <w:rsid w:val="00487421"/>
    <w:rsid w:val="00487434"/>
    <w:rsid w:val="00490AEB"/>
    <w:rsid w:val="00490CC4"/>
    <w:rsid w:val="00492D1D"/>
    <w:rsid w:val="00492FD2"/>
    <w:rsid w:val="0049373E"/>
    <w:rsid w:val="004939D0"/>
    <w:rsid w:val="00494A17"/>
    <w:rsid w:val="00494A58"/>
    <w:rsid w:val="00494B9C"/>
    <w:rsid w:val="00496CF5"/>
    <w:rsid w:val="00497670"/>
    <w:rsid w:val="0049791B"/>
    <w:rsid w:val="004A128A"/>
    <w:rsid w:val="004A1657"/>
    <w:rsid w:val="004A19B9"/>
    <w:rsid w:val="004A24F0"/>
    <w:rsid w:val="004A2627"/>
    <w:rsid w:val="004A2AC4"/>
    <w:rsid w:val="004A2CF8"/>
    <w:rsid w:val="004A2D22"/>
    <w:rsid w:val="004A2FC7"/>
    <w:rsid w:val="004A4C70"/>
    <w:rsid w:val="004A4DD7"/>
    <w:rsid w:val="004A61E5"/>
    <w:rsid w:val="004A650D"/>
    <w:rsid w:val="004A6C15"/>
    <w:rsid w:val="004A7173"/>
    <w:rsid w:val="004A7BCA"/>
    <w:rsid w:val="004B031B"/>
    <w:rsid w:val="004B04E7"/>
    <w:rsid w:val="004B0A07"/>
    <w:rsid w:val="004B1238"/>
    <w:rsid w:val="004B15A6"/>
    <w:rsid w:val="004B2011"/>
    <w:rsid w:val="004B233C"/>
    <w:rsid w:val="004B365C"/>
    <w:rsid w:val="004B42EA"/>
    <w:rsid w:val="004B4530"/>
    <w:rsid w:val="004B4B58"/>
    <w:rsid w:val="004B642C"/>
    <w:rsid w:val="004B7F5D"/>
    <w:rsid w:val="004C04A5"/>
    <w:rsid w:val="004C09AC"/>
    <w:rsid w:val="004C0C42"/>
    <w:rsid w:val="004C0FF8"/>
    <w:rsid w:val="004C129E"/>
    <w:rsid w:val="004C1BCE"/>
    <w:rsid w:val="004C2022"/>
    <w:rsid w:val="004C2665"/>
    <w:rsid w:val="004C266C"/>
    <w:rsid w:val="004C30FE"/>
    <w:rsid w:val="004C3C6E"/>
    <w:rsid w:val="004C3D88"/>
    <w:rsid w:val="004C40A0"/>
    <w:rsid w:val="004C4BBB"/>
    <w:rsid w:val="004C5058"/>
    <w:rsid w:val="004C5B2C"/>
    <w:rsid w:val="004C6E1E"/>
    <w:rsid w:val="004C706E"/>
    <w:rsid w:val="004D12F5"/>
    <w:rsid w:val="004D15D7"/>
    <w:rsid w:val="004D1C74"/>
    <w:rsid w:val="004D24F3"/>
    <w:rsid w:val="004D2F9B"/>
    <w:rsid w:val="004D33C0"/>
    <w:rsid w:val="004D3412"/>
    <w:rsid w:val="004D362C"/>
    <w:rsid w:val="004D3D2A"/>
    <w:rsid w:val="004D4E29"/>
    <w:rsid w:val="004D50C7"/>
    <w:rsid w:val="004D5116"/>
    <w:rsid w:val="004D586E"/>
    <w:rsid w:val="004D5BB5"/>
    <w:rsid w:val="004D5BCB"/>
    <w:rsid w:val="004D5C3B"/>
    <w:rsid w:val="004D5E82"/>
    <w:rsid w:val="004D62CC"/>
    <w:rsid w:val="004D6BDD"/>
    <w:rsid w:val="004D709B"/>
    <w:rsid w:val="004D7243"/>
    <w:rsid w:val="004E00B5"/>
    <w:rsid w:val="004E03BB"/>
    <w:rsid w:val="004E16EE"/>
    <w:rsid w:val="004E1961"/>
    <w:rsid w:val="004E246B"/>
    <w:rsid w:val="004E25B4"/>
    <w:rsid w:val="004E352A"/>
    <w:rsid w:val="004E3AD6"/>
    <w:rsid w:val="004E3DAC"/>
    <w:rsid w:val="004E4E34"/>
    <w:rsid w:val="004E4E8E"/>
    <w:rsid w:val="004E5056"/>
    <w:rsid w:val="004E51AC"/>
    <w:rsid w:val="004E55FE"/>
    <w:rsid w:val="004E59AB"/>
    <w:rsid w:val="004E5B19"/>
    <w:rsid w:val="004E5D2E"/>
    <w:rsid w:val="004E638E"/>
    <w:rsid w:val="004E7389"/>
    <w:rsid w:val="004F012A"/>
    <w:rsid w:val="004F0E48"/>
    <w:rsid w:val="004F224E"/>
    <w:rsid w:val="004F36C8"/>
    <w:rsid w:val="004F3906"/>
    <w:rsid w:val="004F4888"/>
    <w:rsid w:val="004F4968"/>
    <w:rsid w:val="004F4F99"/>
    <w:rsid w:val="004F5A80"/>
    <w:rsid w:val="004F5EC1"/>
    <w:rsid w:val="004F6095"/>
    <w:rsid w:val="004F6477"/>
    <w:rsid w:val="004F7409"/>
    <w:rsid w:val="004F7609"/>
    <w:rsid w:val="005010E4"/>
    <w:rsid w:val="00501B75"/>
    <w:rsid w:val="00502F29"/>
    <w:rsid w:val="0050352D"/>
    <w:rsid w:val="0050385A"/>
    <w:rsid w:val="00503C87"/>
    <w:rsid w:val="0050434C"/>
    <w:rsid w:val="00505169"/>
    <w:rsid w:val="00505671"/>
    <w:rsid w:val="0050569F"/>
    <w:rsid w:val="00505B30"/>
    <w:rsid w:val="00506EC4"/>
    <w:rsid w:val="005075F1"/>
    <w:rsid w:val="0050771B"/>
    <w:rsid w:val="00507A7F"/>
    <w:rsid w:val="00507CAC"/>
    <w:rsid w:val="00507FC5"/>
    <w:rsid w:val="005107D7"/>
    <w:rsid w:val="005108C6"/>
    <w:rsid w:val="00510CE4"/>
    <w:rsid w:val="00512743"/>
    <w:rsid w:val="00512A70"/>
    <w:rsid w:val="005130E9"/>
    <w:rsid w:val="0051383C"/>
    <w:rsid w:val="00514342"/>
    <w:rsid w:val="0051447B"/>
    <w:rsid w:val="005153E6"/>
    <w:rsid w:val="0051591F"/>
    <w:rsid w:val="00515AA8"/>
    <w:rsid w:val="00516184"/>
    <w:rsid w:val="00516597"/>
    <w:rsid w:val="005167B1"/>
    <w:rsid w:val="00516EA7"/>
    <w:rsid w:val="00517D46"/>
    <w:rsid w:val="0052152D"/>
    <w:rsid w:val="005218F4"/>
    <w:rsid w:val="0052302E"/>
    <w:rsid w:val="005232C9"/>
    <w:rsid w:val="00523E61"/>
    <w:rsid w:val="00524411"/>
    <w:rsid w:val="00524431"/>
    <w:rsid w:val="005248A2"/>
    <w:rsid w:val="00525153"/>
    <w:rsid w:val="005251B2"/>
    <w:rsid w:val="00525B93"/>
    <w:rsid w:val="00527146"/>
    <w:rsid w:val="00530717"/>
    <w:rsid w:val="00530A6F"/>
    <w:rsid w:val="00530F19"/>
    <w:rsid w:val="00532840"/>
    <w:rsid w:val="00532C89"/>
    <w:rsid w:val="00532E6E"/>
    <w:rsid w:val="00533315"/>
    <w:rsid w:val="00533FBA"/>
    <w:rsid w:val="005344E4"/>
    <w:rsid w:val="00534D41"/>
    <w:rsid w:val="00535290"/>
    <w:rsid w:val="00535482"/>
    <w:rsid w:val="00535800"/>
    <w:rsid w:val="00535F37"/>
    <w:rsid w:val="005361DD"/>
    <w:rsid w:val="005364E4"/>
    <w:rsid w:val="00536CAA"/>
    <w:rsid w:val="0053754C"/>
    <w:rsid w:val="00537D88"/>
    <w:rsid w:val="00540BEF"/>
    <w:rsid w:val="00541DF3"/>
    <w:rsid w:val="00542FD0"/>
    <w:rsid w:val="00543461"/>
    <w:rsid w:val="0054354E"/>
    <w:rsid w:val="005444F0"/>
    <w:rsid w:val="00544754"/>
    <w:rsid w:val="00546093"/>
    <w:rsid w:val="00546303"/>
    <w:rsid w:val="00546319"/>
    <w:rsid w:val="00546AB0"/>
    <w:rsid w:val="00546FBD"/>
    <w:rsid w:val="005475A6"/>
    <w:rsid w:val="0054762A"/>
    <w:rsid w:val="00547725"/>
    <w:rsid w:val="00550612"/>
    <w:rsid w:val="00550C57"/>
    <w:rsid w:val="005514F0"/>
    <w:rsid w:val="00551FC9"/>
    <w:rsid w:val="0055458F"/>
    <w:rsid w:val="00554A07"/>
    <w:rsid w:val="00555184"/>
    <w:rsid w:val="00555733"/>
    <w:rsid w:val="00556127"/>
    <w:rsid w:val="00556E7C"/>
    <w:rsid w:val="00556EDA"/>
    <w:rsid w:val="005571A2"/>
    <w:rsid w:val="0055724C"/>
    <w:rsid w:val="005573FB"/>
    <w:rsid w:val="0055789A"/>
    <w:rsid w:val="00557D41"/>
    <w:rsid w:val="00560AC9"/>
    <w:rsid w:val="0056180F"/>
    <w:rsid w:val="00561F98"/>
    <w:rsid w:val="00562654"/>
    <w:rsid w:val="00562D08"/>
    <w:rsid w:val="00563FFE"/>
    <w:rsid w:val="005642B5"/>
    <w:rsid w:val="00564849"/>
    <w:rsid w:val="00564DDC"/>
    <w:rsid w:val="00565584"/>
    <w:rsid w:val="00565C65"/>
    <w:rsid w:val="0056688D"/>
    <w:rsid w:val="005669AA"/>
    <w:rsid w:val="00566AF2"/>
    <w:rsid w:val="00567BAE"/>
    <w:rsid w:val="005702FB"/>
    <w:rsid w:val="0057065F"/>
    <w:rsid w:val="0057273F"/>
    <w:rsid w:val="00572C1C"/>
    <w:rsid w:val="00572FA9"/>
    <w:rsid w:val="005739A5"/>
    <w:rsid w:val="00573D63"/>
    <w:rsid w:val="0057401E"/>
    <w:rsid w:val="00574421"/>
    <w:rsid w:val="005745A4"/>
    <w:rsid w:val="00575150"/>
    <w:rsid w:val="005752D9"/>
    <w:rsid w:val="00575940"/>
    <w:rsid w:val="00575E81"/>
    <w:rsid w:val="00576B4A"/>
    <w:rsid w:val="005774C7"/>
    <w:rsid w:val="00577B05"/>
    <w:rsid w:val="00577F36"/>
    <w:rsid w:val="00581790"/>
    <w:rsid w:val="0058264B"/>
    <w:rsid w:val="0058296F"/>
    <w:rsid w:val="0058298E"/>
    <w:rsid w:val="00582B2C"/>
    <w:rsid w:val="00583539"/>
    <w:rsid w:val="00583F5F"/>
    <w:rsid w:val="00584458"/>
    <w:rsid w:val="00585038"/>
    <w:rsid w:val="005854B1"/>
    <w:rsid w:val="00587153"/>
    <w:rsid w:val="005876D2"/>
    <w:rsid w:val="0059071B"/>
    <w:rsid w:val="0059099E"/>
    <w:rsid w:val="00590B68"/>
    <w:rsid w:val="00590E3B"/>
    <w:rsid w:val="005917C5"/>
    <w:rsid w:val="00591828"/>
    <w:rsid w:val="0059250A"/>
    <w:rsid w:val="00594E6C"/>
    <w:rsid w:val="00595397"/>
    <w:rsid w:val="00597ACB"/>
    <w:rsid w:val="00597E72"/>
    <w:rsid w:val="005A0A03"/>
    <w:rsid w:val="005A13FE"/>
    <w:rsid w:val="005A1CF3"/>
    <w:rsid w:val="005A20D1"/>
    <w:rsid w:val="005A27E2"/>
    <w:rsid w:val="005A2BAF"/>
    <w:rsid w:val="005A2BE5"/>
    <w:rsid w:val="005A3478"/>
    <w:rsid w:val="005A4C36"/>
    <w:rsid w:val="005A4F80"/>
    <w:rsid w:val="005A51F1"/>
    <w:rsid w:val="005A53B9"/>
    <w:rsid w:val="005A59CE"/>
    <w:rsid w:val="005A5EDC"/>
    <w:rsid w:val="005A6225"/>
    <w:rsid w:val="005A6494"/>
    <w:rsid w:val="005A6F44"/>
    <w:rsid w:val="005A77AC"/>
    <w:rsid w:val="005B023C"/>
    <w:rsid w:val="005B1729"/>
    <w:rsid w:val="005B183E"/>
    <w:rsid w:val="005B2C99"/>
    <w:rsid w:val="005B2DE2"/>
    <w:rsid w:val="005B2E15"/>
    <w:rsid w:val="005B36DE"/>
    <w:rsid w:val="005B52A8"/>
    <w:rsid w:val="005B5C30"/>
    <w:rsid w:val="005B5C7E"/>
    <w:rsid w:val="005B5DBD"/>
    <w:rsid w:val="005B60B4"/>
    <w:rsid w:val="005B73CB"/>
    <w:rsid w:val="005C04A1"/>
    <w:rsid w:val="005C1C8F"/>
    <w:rsid w:val="005C2527"/>
    <w:rsid w:val="005C255F"/>
    <w:rsid w:val="005C265E"/>
    <w:rsid w:val="005C4182"/>
    <w:rsid w:val="005C429A"/>
    <w:rsid w:val="005C4F0E"/>
    <w:rsid w:val="005C5195"/>
    <w:rsid w:val="005C56CD"/>
    <w:rsid w:val="005C57DF"/>
    <w:rsid w:val="005C5D6A"/>
    <w:rsid w:val="005C6350"/>
    <w:rsid w:val="005C6C05"/>
    <w:rsid w:val="005C6FDE"/>
    <w:rsid w:val="005C7382"/>
    <w:rsid w:val="005C7E87"/>
    <w:rsid w:val="005C7FE2"/>
    <w:rsid w:val="005D042E"/>
    <w:rsid w:val="005D1007"/>
    <w:rsid w:val="005D1049"/>
    <w:rsid w:val="005D1638"/>
    <w:rsid w:val="005D1DC7"/>
    <w:rsid w:val="005D230F"/>
    <w:rsid w:val="005D2570"/>
    <w:rsid w:val="005D271A"/>
    <w:rsid w:val="005D2B9E"/>
    <w:rsid w:val="005D3B26"/>
    <w:rsid w:val="005D5CFB"/>
    <w:rsid w:val="005D5FCF"/>
    <w:rsid w:val="005D5FE8"/>
    <w:rsid w:val="005D6693"/>
    <w:rsid w:val="005D6A3C"/>
    <w:rsid w:val="005D6EAE"/>
    <w:rsid w:val="005E046C"/>
    <w:rsid w:val="005E0743"/>
    <w:rsid w:val="005E15B6"/>
    <w:rsid w:val="005E172D"/>
    <w:rsid w:val="005E26ED"/>
    <w:rsid w:val="005E2CDE"/>
    <w:rsid w:val="005E3969"/>
    <w:rsid w:val="005E39D7"/>
    <w:rsid w:val="005E3CED"/>
    <w:rsid w:val="005E4DC5"/>
    <w:rsid w:val="005E5A05"/>
    <w:rsid w:val="005E73BA"/>
    <w:rsid w:val="005F30B2"/>
    <w:rsid w:val="005F323A"/>
    <w:rsid w:val="005F3A77"/>
    <w:rsid w:val="005F4768"/>
    <w:rsid w:val="005F65CB"/>
    <w:rsid w:val="005F7577"/>
    <w:rsid w:val="0060037D"/>
    <w:rsid w:val="0060131A"/>
    <w:rsid w:val="00601A7B"/>
    <w:rsid w:val="00601B92"/>
    <w:rsid w:val="00602B5A"/>
    <w:rsid w:val="006030D7"/>
    <w:rsid w:val="00603657"/>
    <w:rsid w:val="00603BEF"/>
    <w:rsid w:val="00604851"/>
    <w:rsid w:val="0060600D"/>
    <w:rsid w:val="0060647C"/>
    <w:rsid w:val="00606725"/>
    <w:rsid w:val="00606D55"/>
    <w:rsid w:val="006076CE"/>
    <w:rsid w:val="0060790D"/>
    <w:rsid w:val="006100CB"/>
    <w:rsid w:val="0061031F"/>
    <w:rsid w:val="00611103"/>
    <w:rsid w:val="00611B0D"/>
    <w:rsid w:val="00612047"/>
    <w:rsid w:val="00612BD1"/>
    <w:rsid w:val="00612E6F"/>
    <w:rsid w:val="00612E70"/>
    <w:rsid w:val="00612EC0"/>
    <w:rsid w:val="00612EE8"/>
    <w:rsid w:val="00613C7E"/>
    <w:rsid w:val="00613CA0"/>
    <w:rsid w:val="00613D0B"/>
    <w:rsid w:val="00613EC6"/>
    <w:rsid w:val="00614464"/>
    <w:rsid w:val="00614E74"/>
    <w:rsid w:val="00614FEA"/>
    <w:rsid w:val="00615447"/>
    <w:rsid w:val="00615566"/>
    <w:rsid w:val="00615C5C"/>
    <w:rsid w:val="006165D7"/>
    <w:rsid w:val="00616BFD"/>
    <w:rsid w:val="00616D96"/>
    <w:rsid w:val="00616F66"/>
    <w:rsid w:val="00617ADC"/>
    <w:rsid w:val="006200F4"/>
    <w:rsid w:val="0062074B"/>
    <w:rsid w:val="00621310"/>
    <w:rsid w:val="00621BA7"/>
    <w:rsid w:val="00621E84"/>
    <w:rsid w:val="006224E5"/>
    <w:rsid w:val="00622F7B"/>
    <w:rsid w:val="0062310E"/>
    <w:rsid w:val="00623E71"/>
    <w:rsid w:val="0062401A"/>
    <w:rsid w:val="00624CAD"/>
    <w:rsid w:val="00624FB6"/>
    <w:rsid w:val="006252A1"/>
    <w:rsid w:val="006258DF"/>
    <w:rsid w:val="006261D3"/>
    <w:rsid w:val="006275BE"/>
    <w:rsid w:val="006275D3"/>
    <w:rsid w:val="006279D8"/>
    <w:rsid w:val="00627AD9"/>
    <w:rsid w:val="00631C49"/>
    <w:rsid w:val="006320C1"/>
    <w:rsid w:val="00632212"/>
    <w:rsid w:val="0063250D"/>
    <w:rsid w:val="00632FCA"/>
    <w:rsid w:val="00633226"/>
    <w:rsid w:val="00633E8E"/>
    <w:rsid w:val="00633FD0"/>
    <w:rsid w:val="00635333"/>
    <w:rsid w:val="006355F5"/>
    <w:rsid w:val="00636521"/>
    <w:rsid w:val="00636CA8"/>
    <w:rsid w:val="00636FA7"/>
    <w:rsid w:val="006374BC"/>
    <w:rsid w:val="00640C31"/>
    <w:rsid w:val="00641443"/>
    <w:rsid w:val="00641E02"/>
    <w:rsid w:val="006421D9"/>
    <w:rsid w:val="0064223D"/>
    <w:rsid w:val="006429CF"/>
    <w:rsid w:val="00643C08"/>
    <w:rsid w:val="00644417"/>
    <w:rsid w:val="006444E2"/>
    <w:rsid w:val="00644659"/>
    <w:rsid w:val="006449AC"/>
    <w:rsid w:val="0064520F"/>
    <w:rsid w:val="0064557A"/>
    <w:rsid w:val="00645CEF"/>
    <w:rsid w:val="00646446"/>
    <w:rsid w:val="0064645C"/>
    <w:rsid w:val="00646839"/>
    <w:rsid w:val="00646A56"/>
    <w:rsid w:val="00646A81"/>
    <w:rsid w:val="006506FF"/>
    <w:rsid w:val="00653807"/>
    <w:rsid w:val="00654821"/>
    <w:rsid w:val="00654863"/>
    <w:rsid w:val="00654C01"/>
    <w:rsid w:val="00655345"/>
    <w:rsid w:val="00655879"/>
    <w:rsid w:val="00655A67"/>
    <w:rsid w:val="00656CA5"/>
    <w:rsid w:val="00656F49"/>
    <w:rsid w:val="00657432"/>
    <w:rsid w:val="006576C4"/>
    <w:rsid w:val="006603DB"/>
    <w:rsid w:val="00660453"/>
    <w:rsid w:val="006615CB"/>
    <w:rsid w:val="0066196D"/>
    <w:rsid w:val="00661C6A"/>
    <w:rsid w:val="00661DDC"/>
    <w:rsid w:val="00661E76"/>
    <w:rsid w:val="00661F5A"/>
    <w:rsid w:val="00662057"/>
    <w:rsid w:val="00662284"/>
    <w:rsid w:val="00662AE0"/>
    <w:rsid w:val="00663E73"/>
    <w:rsid w:val="0066413A"/>
    <w:rsid w:val="0066442E"/>
    <w:rsid w:val="00664EC5"/>
    <w:rsid w:val="006650BE"/>
    <w:rsid w:val="006651B9"/>
    <w:rsid w:val="006654AC"/>
    <w:rsid w:val="00665ACF"/>
    <w:rsid w:val="00665DF0"/>
    <w:rsid w:val="00665DFE"/>
    <w:rsid w:val="00666103"/>
    <w:rsid w:val="0066696A"/>
    <w:rsid w:val="00666CEF"/>
    <w:rsid w:val="00666DC9"/>
    <w:rsid w:val="00666F9B"/>
    <w:rsid w:val="00667078"/>
    <w:rsid w:val="00667600"/>
    <w:rsid w:val="0066789F"/>
    <w:rsid w:val="0066794B"/>
    <w:rsid w:val="006704FE"/>
    <w:rsid w:val="00670F8D"/>
    <w:rsid w:val="006710B8"/>
    <w:rsid w:val="006719BC"/>
    <w:rsid w:val="00671EDB"/>
    <w:rsid w:val="00672482"/>
    <w:rsid w:val="006725F4"/>
    <w:rsid w:val="006726D4"/>
    <w:rsid w:val="0067298E"/>
    <w:rsid w:val="00672F06"/>
    <w:rsid w:val="0067450B"/>
    <w:rsid w:val="006745AF"/>
    <w:rsid w:val="006750C1"/>
    <w:rsid w:val="00675D88"/>
    <w:rsid w:val="0067648A"/>
    <w:rsid w:val="00676F8F"/>
    <w:rsid w:val="006775B3"/>
    <w:rsid w:val="00677708"/>
    <w:rsid w:val="006777CB"/>
    <w:rsid w:val="0067784A"/>
    <w:rsid w:val="00680651"/>
    <w:rsid w:val="0068097F"/>
    <w:rsid w:val="00680E56"/>
    <w:rsid w:val="00680F5D"/>
    <w:rsid w:val="00681166"/>
    <w:rsid w:val="0068143F"/>
    <w:rsid w:val="006817F6"/>
    <w:rsid w:val="00681AF9"/>
    <w:rsid w:val="00681D08"/>
    <w:rsid w:val="00681D90"/>
    <w:rsid w:val="00682282"/>
    <w:rsid w:val="00682563"/>
    <w:rsid w:val="006827CD"/>
    <w:rsid w:val="0068303A"/>
    <w:rsid w:val="0068307F"/>
    <w:rsid w:val="006834F5"/>
    <w:rsid w:val="006843BD"/>
    <w:rsid w:val="00684520"/>
    <w:rsid w:val="00684B2F"/>
    <w:rsid w:val="00685862"/>
    <w:rsid w:val="00685A90"/>
    <w:rsid w:val="0068699E"/>
    <w:rsid w:val="00690729"/>
    <w:rsid w:val="006913AF"/>
    <w:rsid w:val="006914E4"/>
    <w:rsid w:val="0069158A"/>
    <w:rsid w:val="00691F7F"/>
    <w:rsid w:val="0069206F"/>
    <w:rsid w:val="00692A34"/>
    <w:rsid w:val="00693104"/>
    <w:rsid w:val="0069415F"/>
    <w:rsid w:val="0069446D"/>
    <w:rsid w:val="00694B9D"/>
    <w:rsid w:val="006952AF"/>
    <w:rsid w:val="00695610"/>
    <w:rsid w:val="006959B3"/>
    <w:rsid w:val="00695AEE"/>
    <w:rsid w:val="00695EAC"/>
    <w:rsid w:val="006963FC"/>
    <w:rsid w:val="00697132"/>
    <w:rsid w:val="00697FF7"/>
    <w:rsid w:val="006A1939"/>
    <w:rsid w:val="006A1974"/>
    <w:rsid w:val="006A1DD9"/>
    <w:rsid w:val="006A3129"/>
    <w:rsid w:val="006A3233"/>
    <w:rsid w:val="006A3253"/>
    <w:rsid w:val="006A33E0"/>
    <w:rsid w:val="006A3C50"/>
    <w:rsid w:val="006A5A82"/>
    <w:rsid w:val="006A60CE"/>
    <w:rsid w:val="006A62C6"/>
    <w:rsid w:val="006A6978"/>
    <w:rsid w:val="006A6B5A"/>
    <w:rsid w:val="006A6E64"/>
    <w:rsid w:val="006B0F26"/>
    <w:rsid w:val="006B14DA"/>
    <w:rsid w:val="006B1598"/>
    <w:rsid w:val="006B1C16"/>
    <w:rsid w:val="006B29EF"/>
    <w:rsid w:val="006B2D29"/>
    <w:rsid w:val="006B4288"/>
    <w:rsid w:val="006B43C5"/>
    <w:rsid w:val="006B46B1"/>
    <w:rsid w:val="006B47F3"/>
    <w:rsid w:val="006B48F0"/>
    <w:rsid w:val="006B4A25"/>
    <w:rsid w:val="006B54A5"/>
    <w:rsid w:val="006B566F"/>
    <w:rsid w:val="006B5BBB"/>
    <w:rsid w:val="006B5E86"/>
    <w:rsid w:val="006B635E"/>
    <w:rsid w:val="006B6D6E"/>
    <w:rsid w:val="006B7688"/>
    <w:rsid w:val="006B7CBE"/>
    <w:rsid w:val="006C00E0"/>
    <w:rsid w:val="006C0481"/>
    <w:rsid w:val="006C0D79"/>
    <w:rsid w:val="006C1B30"/>
    <w:rsid w:val="006C31C2"/>
    <w:rsid w:val="006C4BFB"/>
    <w:rsid w:val="006C56E0"/>
    <w:rsid w:val="006C729F"/>
    <w:rsid w:val="006C72A0"/>
    <w:rsid w:val="006C741F"/>
    <w:rsid w:val="006C7490"/>
    <w:rsid w:val="006D05ED"/>
    <w:rsid w:val="006D0724"/>
    <w:rsid w:val="006D0E64"/>
    <w:rsid w:val="006D0F78"/>
    <w:rsid w:val="006D11FD"/>
    <w:rsid w:val="006D1240"/>
    <w:rsid w:val="006D1442"/>
    <w:rsid w:val="006D215D"/>
    <w:rsid w:val="006D2FD6"/>
    <w:rsid w:val="006D304D"/>
    <w:rsid w:val="006D3C03"/>
    <w:rsid w:val="006D4FC3"/>
    <w:rsid w:val="006D516A"/>
    <w:rsid w:val="006D53C6"/>
    <w:rsid w:val="006D62F2"/>
    <w:rsid w:val="006D62F6"/>
    <w:rsid w:val="006D6780"/>
    <w:rsid w:val="006E0572"/>
    <w:rsid w:val="006E0749"/>
    <w:rsid w:val="006E0E35"/>
    <w:rsid w:val="006E19B6"/>
    <w:rsid w:val="006E1F52"/>
    <w:rsid w:val="006E3AAE"/>
    <w:rsid w:val="006E3DA9"/>
    <w:rsid w:val="006E4296"/>
    <w:rsid w:val="006E4FE0"/>
    <w:rsid w:val="006E518F"/>
    <w:rsid w:val="006E5916"/>
    <w:rsid w:val="006E6F9E"/>
    <w:rsid w:val="006E70A4"/>
    <w:rsid w:val="006E71FC"/>
    <w:rsid w:val="006E7A9D"/>
    <w:rsid w:val="006E7B6D"/>
    <w:rsid w:val="006E7EAA"/>
    <w:rsid w:val="006F0944"/>
    <w:rsid w:val="006F0AF7"/>
    <w:rsid w:val="006F14F2"/>
    <w:rsid w:val="006F1E34"/>
    <w:rsid w:val="006F1F48"/>
    <w:rsid w:val="006F21D5"/>
    <w:rsid w:val="006F25DA"/>
    <w:rsid w:val="006F32C5"/>
    <w:rsid w:val="006F336F"/>
    <w:rsid w:val="006F386A"/>
    <w:rsid w:val="006F3AA8"/>
    <w:rsid w:val="006F3AC0"/>
    <w:rsid w:val="006F686E"/>
    <w:rsid w:val="006F7A3F"/>
    <w:rsid w:val="00700273"/>
    <w:rsid w:val="007002E5"/>
    <w:rsid w:val="007013D4"/>
    <w:rsid w:val="00701ECE"/>
    <w:rsid w:val="00701EDD"/>
    <w:rsid w:val="00703870"/>
    <w:rsid w:val="00703896"/>
    <w:rsid w:val="00703B13"/>
    <w:rsid w:val="0070424E"/>
    <w:rsid w:val="00705A1A"/>
    <w:rsid w:val="0070610A"/>
    <w:rsid w:val="007061AF"/>
    <w:rsid w:val="00706C1B"/>
    <w:rsid w:val="007077F8"/>
    <w:rsid w:val="007106DC"/>
    <w:rsid w:val="007126A3"/>
    <w:rsid w:val="007128C8"/>
    <w:rsid w:val="00712E60"/>
    <w:rsid w:val="00713B8F"/>
    <w:rsid w:val="00713E6F"/>
    <w:rsid w:val="00713E72"/>
    <w:rsid w:val="00714220"/>
    <w:rsid w:val="00714306"/>
    <w:rsid w:val="00714B1F"/>
    <w:rsid w:val="00714BB3"/>
    <w:rsid w:val="0071599B"/>
    <w:rsid w:val="0071608D"/>
    <w:rsid w:val="00716130"/>
    <w:rsid w:val="00716612"/>
    <w:rsid w:val="0071678C"/>
    <w:rsid w:val="00716D79"/>
    <w:rsid w:val="007171DF"/>
    <w:rsid w:val="00717205"/>
    <w:rsid w:val="00717AA2"/>
    <w:rsid w:val="00717B07"/>
    <w:rsid w:val="00717E62"/>
    <w:rsid w:val="00720421"/>
    <w:rsid w:val="00721BC3"/>
    <w:rsid w:val="00722257"/>
    <w:rsid w:val="00722A3A"/>
    <w:rsid w:val="00723020"/>
    <w:rsid w:val="0072341F"/>
    <w:rsid w:val="0072344E"/>
    <w:rsid w:val="00724589"/>
    <w:rsid w:val="00724CA5"/>
    <w:rsid w:val="007275C8"/>
    <w:rsid w:val="00727991"/>
    <w:rsid w:val="00727A3E"/>
    <w:rsid w:val="00727A4B"/>
    <w:rsid w:val="00727BD8"/>
    <w:rsid w:val="00731058"/>
    <w:rsid w:val="00731081"/>
    <w:rsid w:val="00731456"/>
    <w:rsid w:val="0073196C"/>
    <w:rsid w:val="007327B6"/>
    <w:rsid w:val="007328CC"/>
    <w:rsid w:val="0073313A"/>
    <w:rsid w:val="00733997"/>
    <w:rsid w:val="00733A64"/>
    <w:rsid w:val="00734312"/>
    <w:rsid w:val="007347A3"/>
    <w:rsid w:val="00735813"/>
    <w:rsid w:val="00735AC2"/>
    <w:rsid w:val="00735F4E"/>
    <w:rsid w:val="00736D15"/>
    <w:rsid w:val="0073706A"/>
    <w:rsid w:val="00741A2E"/>
    <w:rsid w:val="00741E9A"/>
    <w:rsid w:val="0074215E"/>
    <w:rsid w:val="0074231F"/>
    <w:rsid w:val="0074299D"/>
    <w:rsid w:val="007433D0"/>
    <w:rsid w:val="007438DA"/>
    <w:rsid w:val="00744275"/>
    <w:rsid w:val="00745C40"/>
    <w:rsid w:val="00745C46"/>
    <w:rsid w:val="0074647E"/>
    <w:rsid w:val="00747CA1"/>
    <w:rsid w:val="007505AF"/>
    <w:rsid w:val="00751642"/>
    <w:rsid w:val="00751D2E"/>
    <w:rsid w:val="00752326"/>
    <w:rsid w:val="007544D5"/>
    <w:rsid w:val="007545A4"/>
    <w:rsid w:val="007548E2"/>
    <w:rsid w:val="00756A58"/>
    <w:rsid w:val="00756C21"/>
    <w:rsid w:val="007578C4"/>
    <w:rsid w:val="00757BF2"/>
    <w:rsid w:val="00757F50"/>
    <w:rsid w:val="00757FEF"/>
    <w:rsid w:val="00761374"/>
    <w:rsid w:val="00761FF7"/>
    <w:rsid w:val="0076253A"/>
    <w:rsid w:val="00763013"/>
    <w:rsid w:val="007630C8"/>
    <w:rsid w:val="007639F3"/>
    <w:rsid w:val="00763B88"/>
    <w:rsid w:val="00763B8C"/>
    <w:rsid w:val="00763C9D"/>
    <w:rsid w:val="00763DE8"/>
    <w:rsid w:val="007641B0"/>
    <w:rsid w:val="00764764"/>
    <w:rsid w:val="007647C3"/>
    <w:rsid w:val="007649C4"/>
    <w:rsid w:val="0076532C"/>
    <w:rsid w:val="007656A9"/>
    <w:rsid w:val="00765A44"/>
    <w:rsid w:val="007662B5"/>
    <w:rsid w:val="00766989"/>
    <w:rsid w:val="00766C0B"/>
    <w:rsid w:val="007673C7"/>
    <w:rsid w:val="007715A0"/>
    <w:rsid w:val="007716AB"/>
    <w:rsid w:val="00771721"/>
    <w:rsid w:val="007718C9"/>
    <w:rsid w:val="00772DDF"/>
    <w:rsid w:val="00772EA1"/>
    <w:rsid w:val="00773C06"/>
    <w:rsid w:val="00773DAC"/>
    <w:rsid w:val="00775D64"/>
    <w:rsid w:val="00775FEB"/>
    <w:rsid w:val="00776002"/>
    <w:rsid w:val="007761B9"/>
    <w:rsid w:val="007769F2"/>
    <w:rsid w:val="00777032"/>
    <w:rsid w:val="00777174"/>
    <w:rsid w:val="00777D53"/>
    <w:rsid w:val="00780577"/>
    <w:rsid w:val="00782105"/>
    <w:rsid w:val="00782139"/>
    <w:rsid w:val="007822C5"/>
    <w:rsid w:val="00782577"/>
    <w:rsid w:val="0078316E"/>
    <w:rsid w:val="00783AF0"/>
    <w:rsid w:val="00783E6B"/>
    <w:rsid w:val="00784B4C"/>
    <w:rsid w:val="00784F65"/>
    <w:rsid w:val="00785816"/>
    <w:rsid w:val="00785C28"/>
    <w:rsid w:val="00785E6A"/>
    <w:rsid w:val="007865E7"/>
    <w:rsid w:val="00787198"/>
    <w:rsid w:val="007871AF"/>
    <w:rsid w:val="007874BF"/>
    <w:rsid w:val="0078787D"/>
    <w:rsid w:val="00787BCF"/>
    <w:rsid w:val="00787E47"/>
    <w:rsid w:val="00792B68"/>
    <w:rsid w:val="0079329D"/>
    <w:rsid w:val="007936C7"/>
    <w:rsid w:val="00794138"/>
    <w:rsid w:val="007941BE"/>
    <w:rsid w:val="00796076"/>
    <w:rsid w:val="00796AC2"/>
    <w:rsid w:val="00796E51"/>
    <w:rsid w:val="007978EE"/>
    <w:rsid w:val="007A1FAE"/>
    <w:rsid w:val="007A36BB"/>
    <w:rsid w:val="007A3C0D"/>
    <w:rsid w:val="007A4DF8"/>
    <w:rsid w:val="007A54C0"/>
    <w:rsid w:val="007A5B32"/>
    <w:rsid w:val="007A7224"/>
    <w:rsid w:val="007A781D"/>
    <w:rsid w:val="007A784A"/>
    <w:rsid w:val="007B063A"/>
    <w:rsid w:val="007B0677"/>
    <w:rsid w:val="007B0B6D"/>
    <w:rsid w:val="007B0C32"/>
    <w:rsid w:val="007B128A"/>
    <w:rsid w:val="007B1324"/>
    <w:rsid w:val="007B185E"/>
    <w:rsid w:val="007B1B66"/>
    <w:rsid w:val="007B1D99"/>
    <w:rsid w:val="007B33F2"/>
    <w:rsid w:val="007B35BA"/>
    <w:rsid w:val="007B36A2"/>
    <w:rsid w:val="007B3CE7"/>
    <w:rsid w:val="007B429C"/>
    <w:rsid w:val="007B522C"/>
    <w:rsid w:val="007B66F3"/>
    <w:rsid w:val="007B7AE9"/>
    <w:rsid w:val="007C03EB"/>
    <w:rsid w:val="007C2497"/>
    <w:rsid w:val="007C36D0"/>
    <w:rsid w:val="007C3E06"/>
    <w:rsid w:val="007C41DA"/>
    <w:rsid w:val="007C48BF"/>
    <w:rsid w:val="007C5068"/>
    <w:rsid w:val="007C5235"/>
    <w:rsid w:val="007C5EF1"/>
    <w:rsid w:val="007C5F38"/>
    <w:rsid w:val="007C635E"/>
    <w:rsid w:val="007C6578"/>
    <w:rsid w:val="007C65B7"/>
    <w:rsid w:val="007C71F1"/>
    <w:rsid w:val="007C7C92"/>
    <w:rsid w:val="007C7D9F"/>
    <w:rsid w:val="007D123C"/>
    <w:rsid w:val="007D16D0"/>
    <w:rsid w:val="007D17CD"/>
    <w:rsid w:val="007D331D"/>
    <w:rsid w:val="007D35D4"/>
    <w:rsid w:val="007D3AEF"/>
    <w:rsid w:val="007D668B"/>
    <w:rsid w:val="007D678C"/>
    <w:rsid w:val="007D7084"/>
    <w:rsid w:val="007E028D"/>
    <w:rsid w:val="007E02B3"/>
    <w:rsid w:val="007E1E0D"/>
    <w:rsid w:val="007E236A"/>
    <w:rsid w:val="007E254F"/>
    <w:rsid w:val="007E291D"/>
    <w:rsid w:val="007E3A6E"/>
    <w:rsid w:val="007E40BA"/>
    <w:rsid w:val="007E4707"/>
    <w:rsid w:val="007E4F87"/>
    <w:rsid w:val="007E5461"/>
    <w:rsid w:val="007E54F9"/>
    <w:rsid w:val="007E595C"/>
    <w:rsid w:val="007E5C67"/>
    <w:rsid w:val="007E5D01"/>
    <w:rsid w:val="007E6492"/>
    <w:rsid w:val="007E78BA"/>
    <w:rsid w:val="007F0B3F"/>
    <w:rsid w:val="007F20BE"/>
    <w:rsid w:val="007F28AA"/>
    <w:rsid w:val="007F3BB1"/>
    <w:rsid w:val="007F4C29"/>
    <w:rsid w:val="007F6CB6"/>
    <w:rsid w:val="007F7427"/>
    <w:rsid w:val="007F760D"/>
    <w:rsid w:val="007F7CF2"/>
    <w:rsid w:val="008001F2"/>
    <w:rsid w:val="008003D2"/>
    <w:rsid w:val="00800D1F"/>
    <w:rsid w:val="00800FBA"/>
    <w:rsid w:val="00801568"/>
    <w:rsid w:val="008016DF"/>
    <w:rsid w:val="00802722"/>
    <w:rsid w:val="008028D6"/>
    <w:rsid w:val="00804EAF"/>
    <w:rsid w:val="00804FA2"/>
    <w:rsid w:val="00805FEB"/>
    <w:rsid w:val="008060C3"/>
    <w:rsid w:val="008066C8"/>
    <w:rsid w:val="00807512"/>
    <w:rsid w:val="0080763F"/>
    <w:rsid w:val="00807CB6"/>
    <w:rsid w:val="008114CB"/>
    <w:rsid w:val="00812EA7"/>
    <w:rsid w:val="00813853"/>
    <w:rsid w:val="00813D19"/>
    <w:rsid w:val="008143A4"/>
    <w:rsid w:val="00814673"/>
    <w:rsid w:val="00814F2C"/>
    <w:rsid w:val="0081512C"/>
    <w:rsid w:val="008154CC"/>
    <w:rsid w:val="00815545"/>
    <w:rsid w:val="00816175"/>
    <w:rsid w:val="008173E3"/>
    <w:rsid w:val="008200CD"/>
    <w:rsid w:val="00820FBC"/>
    <w:rsid w:val="00821848"/>
    <w:rsid w:val="00822170"/>
    <w:rsid w:val="0082272C"/>
    <w:rsid w:val="00822A99"/>
    <w:rsid w:val="00822AEF"/>
    <w:rsid w:val="00822BC1"/>
    <w:rsid w:val="00822EEC"/>
    <w:rsid w:val="00823A2B"/>
    <w:rsid w:val="00823A44"/>
    <w:rsid w:val="00825E4C"/>
    <w:rsid w:val="008260E5"/>
    <w:rsid w:val="00826154"/>
    <w:rsid w:val="00826C18"/>
    <w:rsid w:val="00827EC7"/>
    <w:rsid w:val="00831FC2"/>
    <w:rsid w:val="00833F55"/>
    <w:rsid w:val="0083433E"/>
    <w:rsid w:val="00835006"/>
    <w:rsid w:val="008351E9"/>
    <w:rsid w:val="0083534F"/>
    <w:rsid w:val="0083570C"/>
    <w:rsid w:val="008364D5"/>
    <w:rsid w:val="008367E1"/>
    <w:rsid w:val="00836A66"/>
    <w:rsid w:val="00837A9A"/>
    <w:rsid w:val="00837D4A"/>
    <w:rsid w:val="00837F18"/>
    <w:rsid w:val="00840459"/>
    <w:rsid w:val="008409C9"/>
    <w:rsid w:val="0084168D"/>
    <w:rsid w:val="00841DA1"/>
    <w:rsid w:val="00841E99"/>
    <w:rsid w:val="008424F2"/>
    <w:rsid w:val="00842737"/>
    <w:rsid w:val="00842C1A"/>
    <w:rsid w:val="008439AC"/>
    <w:rsid w:val="00843A0F"/>
    <w:rsid w:val="008446C3"/>
    <w:rsid w:val="008448ED"/>
    <w:rsid w:val="00844E79"/>
    <w:rsid w:val="0084556F"/>
    <w:rsid w:val="008455D3"/>
    <w:rsid w:val="00845D59"/>
    <w:rsid w:val="008471F6"/>
    <w:rsid w:val="0084763D"/>
    <w:rsid w:val="008477E4"/>
    <w:rsid w:val="008479DA"/>
    <w:rsid w:val="00847E0E"/>
    <w:rsid w:val="00847E27"/>
    <w:rsid w:val="008507B3"/>
    <w:rsid w:val="00852205"/>
    <w:rsid w:val="00852DAD"/>
    <w:rsid w:val="00853BAC"/>
    <w:rsid w:val="00854951"/>
    <w:rsid w:val="00854990"/>
    <w:rsid w:val="00854AF9"/>
    <w:rsid w:val="008552A2"/>
    <w:rsid w:val="00855946"/>
    <w:rsid w:val="00855C4D"/>
    <w:rsid w:val="0085636A"/>
    <w:rsid w:val="00856B34"/>
    <w:rsid w:val="00857374"/>
    <w:rsid w:val="00860649"/>
    <w:rsid w:val="00861387"/>
    <w:rsid w:val="00861DE9"/>
    <w:rsid w:val="00861E37"/>
    <w:rsid w:val="008621EE"/>
    <w:rsid w:val="00862248"/>
    <w:rsid w:val="008626DA"/>
    <w:rsid w:val="008634A1"/>
    <w:rsid w:val="0086392C"/>
    <w:rsid w:val="00863DED"/>
    <w:rsid w:val="008641CC"/>
    <w:rsid w:val="0086501F"/>
    <w:rsid w:val="00865A74"/>
    <w:rsid w:val="00865E27"/>
    <w:rsid w:val="0086681A"/>
    <w:rsid w:val="00870EC1"/>
    <w:rsid w:val="00872743"/>
    <w:rsid w:val="00873F9E"/>
    <w:rsid w:val="00873FC9"/>
    <w:rsid w:val="00874591"/>
    <w:rsid w:val="00875255"/>
    <w:rsid w:val="00875CAD"/>
    <w:rsid w:val="00875DF6"/>
    <w:rsid w:val="008761D5"/>
    <w:rsid w:val="00876881"/>
    <w:rsid w:val="00876907"/>
    <w:rsid w:val="00876FEA"/>
    <w:rsid w:val="0088121D"/>
    <w:rsid w:val="0088151D"/>
    <w:rsid w:val="00882D9E"/>
    <w:rsid w:val="00882E93"/>
    <w:rsid w:val="00883725"/>
    <w:rsid w:val="00883C50"/>
    <w:rsid w:val="00884496"/>
    <w:rsid w:val="0088501C"/>
    <w:rsid w:val="00885233"/>
    <w:rsid w:val="008856D6"/>
    <w:rsid w:val="0088577D"/>
    <w:rsid w:val="00885938"/>
    <w:rsid w:val="008864A2"/>
    <w:rsid w:val="0088716F"/>
    <w:rsid w:val="00887B87"/>
    <w:rsid w:val="00887E31"/>
    <w:rsid w:val="00890744"/>
    <w:rsid w:val="00891762"/>
    <w:rsid w:val="00891907"/>
    <w:rsid w:val="0089201D"/>
    <w:rsid w:val="008921CE"/>
    <w:rsid w:val="00892661"/>
    <w:rsid w:val="00893051"/>
    <w:rsid w:val="008951F1"/>
    <w:rsid w:val="00896264"/>
    <w:rsid w:val="00896512"/>
    <w:rsid w:val="00896EFA"/>
    <w:rsid w:val="00896F14"/>
    <w:rsid w:val="00896F58"/>
    <w:rsid w:val="008975D1"/>
    <w:rsid w:val="0089799F"/>
    <w:rsid w:val="00897EDC"/>
    <w:rsid w:val="008A0929"/>
    <w:rsid w:val="008A0D48"/>
    <w:rsid w:val="008A0FD0"/>
    <w:rsid w:val="008A13AB"/>
    <w:rsid w:val="008A1885"/>
    <w:rsid w:val="008A1DE9"/>
    <w:rsid w:val="008A6C6E"/>
    <w:rsid w:val="008A76E8"/>
    <w:rsid w:val="008A78D9"/>
    <w:rsid w:val="008A7914"/>
    <w:rsid w:val="008A7A3A"/>
    <w:rsid w:val="008A7CDF"/>
    <w:rsid w:val="008B020F"/>
    <w:rsid w:val="008B0F5E"/>
    <w:rsid w:val="008B10B7"/>
    <w:rsid w:val="008B150B"/>
    <w:rsid w:val="008B1727"/>
    <w:rsid w:val="008B1B7A"/>
    <w:rsid w:val="008B1D39"/>
    <w:rsid w:val="008B1FBD"/>
    <w:rsid w:val="008B25F2"/>
    <w:rsid w:val="008B2B89"/>
    <w:rsid w:val="008B3495"/>
    <w:rsid w:val="008B34CE"/>
    <w:rsid w:val="008B3774"/>
    <w:rsid w:val="008B3FD3"/>
    <w:rsid w:val="008B419C"/>
    <w:rsid w:val="008B4364"/>
    <w:rsid w:val="008B5307"/>
    <w:rsid w:val="008B65C8"/>
    <w:rsid w:val="008C0CD3"/>
    <w:rsid w:val="008C1888"/>
    <w:rsid w:val="008C224D"/>
    <w:rsid w:val="008C25AD"/>
    <w:rsid w:val="008C2695"/>
    <w:rsid w:val="008C36F0"/>
    <w:rsid w:val="008C3E9D"/>
    <w:rsid w:val="008C4761"/>
    <w:rsid w:val="008C48A6"/>
    <w:rsid w:val="008C5192"/>
    <w:rsid w:val="008C6110"/>
    <w:rsid w:val="008C6699"/>
    <w:rsid w:val="008C67D7"/>
    <w:rsid w:val="008D0422"/>
    <w:rsid w:val="008D1198"/>
    <w:rsid w:val="008D1776"/>
    <w:rsid w:val="008D26C9"/>
    <w:rsid w:val="008D28E0"/>
    <w:rsid w:val="008D2C7A"/>
    <w:rsid w:val="008D346A"/>
    <w:rsid w:val="008D444B"/>
    <w:rsid w:val="008D448E"/>
    <w:rsid w:val="008D4972"/>
    <w:rsid w:val="008D5894"/>
    <w:rsid w:val="008D59C2"/>
    <w:rsid w:val="008D68BD"/>
    <w:rsid w:val="008D6D61"/>
    <w:rsid w:val="008D6EE7"/>
    <w:rsid w:val="008D6F2A"/>
    <w:rsid w:val="008D7CE3"/>
    <w:rsid w:val="008E0202"/>
    <w:rsid w:val="008E077F"/>
    <w:rsid w:val="008E0CBC"/>
    <w:rsid w:val="008E0EDC"/>
    <w:rsid w:val="008E141F"/>
    <w:rsid w:val="008E1D34"/>
    <w:rsid w:val="008E1E66"/>
    <w:rsid w:val="008E3BBD"/>
    <w:rsid w:val="008E4A73"/>
    <w:rsid w:val="008E5244"/>
    <w:rsid w:val="008E5F9B"/>
    <w:rsid w:val="008E6BCB"/>
    <w:rsid w:val="008E6E24"/>
    <w:rsid w:val="008E774F"/>
    <w:rsid w:val="008E7999"/>
    <w:rsid w:val="008F0566"/>
    <w:rsid w:val="008F0927"/>
    <w:rsid w:val="008F0AC5"/>
    <w:rsid w:val="008F1073"/>
    <w:rsid w:val="008F13D1"/>
    <w:rsid w:val="008F1484"/>
    <w:rsid w:val="008F15CD"/>
    <w:rsid w:val="008F199B"/>
    <w:rsid w:val="008F1CC9"/>
    <w:rsid w:val="008F2052"/>
    <w:rsid w:val="008F3692"/>
    <w:rsid w:val="008F38BC"/>
    <w:rsid w:val="008F3B10"/>
    <w:rsid w:val="008F48D6"/>
    <w:rsid w:val="008F4925"/>
    <w:rsid w:val="008F53D1"/>
    <w:rsid w:val="008F5493"/>
    <w:rsid w:val="008F5974"/>
    <w:rsid w:val="008F6182"/>
    <w:rsid w:val="008F7040"/>
    <w:rsid w:val="00900711"/>
    <w:rsid w:val="0090079C"/>
    <w:rsid w:val="00900942"/>
    <w:rsid w:val="00901A5B"/>
    <w:rsid w:val="00901B3E"/>
    <w:rsid w:val="0090311B"/>
    <w:rsid w:val="00906FF8"/>
    <w:rsid w:val="00907D17"/>
    <w:rsid w:val="00910C39"/>
    <w:rsid w:val="0091110C"/>
    <w:rsid w:val="00911207"/>
    <w:rsid w:val="00911A77"/>
    <w:rsid w:val="009123AA"/>
    <w:rsid w:val="00912484"/>
    <w:rsid w:val="00912C04"/>
    <w:rsid w:val="00913A19"/>
    <w:rsid w:val="00913B73"/>
    <w:rsid w:val="0091412C"/>
    <w:rsid w:val="009142B8"/>
    <w:rsid w:val="00914545"/>
    <w:rsid w:val="00914ED5"/>
    <w:rsid w:val="00915D74"/>
    <w:rsid w:val="00916722"/>
    <w:rsid w:val="00916D9B"/>
    <w:rsid w:val="009174F0"/>
    <w:rsid w:val="00917794"/>
    <w:rsid w:val="00920DF4"/>
    <w:rsid w:val="00920F98"/>
    <w:rsid w:val="00921497"/>
    <w:rsid w:val="00921D85"/>
    <w:rsid w:val="00922B2A"/>
    <w:rsid w:val="00922E22"/>
    <w:rsid w:val="0092303E"/>
    <w:rsid w:val="00923320"/>
    <w:rsid w:val="00923A69"/>
    <w:rsid w:val="009243F4"/>
    <w:rsid w:val="00925B34"/>
    <w:rsid w:val="00925FC8"/>
    <w:rsid w:val="00926324"/>
    <w:rsid w:val="009263E2"/>
    <w:rsid w:val="00926D3F"/>
    <w:rsid w:val="00926DBD"/>
    <w:rsid w:val="00927B24"/>
    <w:rsid w:val="00927C1F"/>
    <w:rsid w:val="00927D5B"/>
    <w:rsid w:val="00930480"/>
    <w:rsid w:val="0093076A"/>
    <w:rsid w:val="00931D44"/>
    <w:rsid w:val="00932019"/>
    <w:rsid w:val="009324AD"/>
    <w:rsid w:val="00932D0F"/>
    <w:rsid w:val="00932F94"/>
    <w:rsid w:val="009336DF"/>
    <w:rsid w:val="0093391A"/>
    <w:rsid w:val="009340B5"/>
    <w:rsid w:val="009341B0"/>
    <w:rsid w:val="00934409"/>
    <w:rsid w:val="00935288"/>
    <w:rsid w:val="009352F1"/>
    <w:rsid w:val="00935487"/>
    <w:rsid w:val="00935F2C"/>
    <w:rsid w:val="009360FA"/>
    <w:rsid w:val="0093649F"/>
    <w:rsid w:val="00936506"/>
    <w:rsid w:val="00940B03"/>
    <w:rsid w:val="00942012"/>
    <w:rsid w:val="0094259E"/>
    <w:rsid w:val="00942C6D"/>
    <w:rsid w:val="00942E93"/>
    <w:rsid w:val="00943901"/>
    <w:rsid w:val="009446EA"/>
    <w:rsid w:val="00944D69"/>
    <w:rsid w:val="009450AD"/>
    <w:rsid w:val="00945643"/>
    <w:rsid w:val="009457EB"/>
    <w:rsid w:val="00945F44"/>
    <w:rsid w:val="0094687B"/>
    <w:rsid w:val="009471DF"/>
    <w:rsid w:val="009473B1"/>
    <w:rsid w:val="00951663"/>
    <w:rsid w:val="00951E67"/>
    <w:rsid w:val="00952129"/>
    <w:rsid w:val="0095213D"/>
    <w:rsid w:val="0095362C"/>
    <w:rsid w:val="00953826"/>
    <w:rsid w:val="009558E6"/>
    <w:rsid w:val="009559B4"/>
    <w:rsid w:val="00955A1E"/>
    <w:rsid w:val="00956009"/>
    <w:rsid w:val="009566D1"/>
    <w:rsid w:val="00956886"/>
    <w:rsid w:val="0095698E"/>
    <w:rsid w:val="00960758"/>
    <w:rsid w:val="00960EA0"/>
    <w:rsid w:val="009619EC"/>
    <w:rsid w:val="009622B6"/>
    <w:rsid w:val="00962B1D"/>
    <w:rsid w:val="0096352C"/>
    <w:rsid w:val="009643B2"/>
    <w:rsid w:val="00964FEA"/>
    <w:rsid w:val="00965696"/>
    <w:rsid w:val="00965789"/>
    <w:rsid w:val="00965FF5"/>
    <w:rsid w:val="00966FF0"/>
    <w:rsid w:val="00967323"/>
    <w:rsid w:val="009674F7"/>
    <w:rsid w:val="00967D82"/>
    <w:rsid w:val="00970013"/>
    <w:rsid w:val="00971664"/>
    <w:rsid w:val="0097171E"/>
    <w:rsid w:val="009723A8"/>
    <w:rsid w:val="00972A92"/>
    <w:rsid w:val="00972A97"/>
    <w:rsid w:val="00972E75"/>
    <w:rsid w:val="0097343F"/>
    <w:rsid w:val="009760E4"/>
    <w:rsid w:val="00980497"/>
    <w:rsid w:val="00980CD5"/>
    <w:rsid w:val="00981A2D"/>
    <w:rsid w:val="00982384"/>
    <w:rsid w:val="00982B00"/>
    <w:rsid w:val="0098481B"/>
    <w:rsid w:val="00985549"/>
    <w:rsid w:val="00986055"/>
    <w:rsid w:val="00987557"/>
    <w:rsid w:val="00987B50"/>
    <w:rsid w:val="009918DE"/>
    <w:rsid w:val="0099194F"/>
    <w:rsid w:val="009921C4"/>
    <w:rsid w:val="00994004"/>
    <w:rsid w:val="00994647"/>
    <w:rsid w:val="00994997"/>
    <w:rsid w:val="00997B5E"/>
    <w:rsid w:val="009A0010"/>
    <w:rsid w:val="009A099C"/>
    <w:rsid w:val="009A10B4"/>
    <w:rsid w:val="009A1643"/>
    <w:rsid w:val="009A16C2"/>
    <w:rsid w:val="009A1713"/>
    <w:rsid w:val="009A1BE3"/>
    <w:rsid w:val="009A2518"/>
    <w:rsid w:val="009A2AAF"/>
    <w:rsid w:val="009A2AD7"/>
    <w:rsid w:val="009A2E01"/>
    <w:rsid w:val="009A3199"/>
    <w:rsid w:val="009A3B93"/>
    <w:rsid w:val="009A3E50"/>
    <w:rsid w:val="009A3F28"/>
    <w:rsid w:val="009A4712"/>
    <w:rsid w:val="009A4C5B"/>
    <w:rsid w:val="009A5BA4"/>
    <w:rsid w:val="009A5DA8"/>
    <w:rsid w:val="009A63F3"/>
    <w:rsid w:val="009A6D64"/>
    <w:rsid w:val="009A7DE0"/>
    <w:rsid w:val="009B1647"/>
    <w:rsid w:val="009B2151"/>
    <w:rsid w:val="009B38CF"/>
    <w:rsid w:val="009B3E5C"/>
    <w:rsid w:val="009B4FBA"/>
    <w:rsid w:val="009B5C31"/>
    <w:rsid w:val="009B5CD5"/>
    <w:rsid w:val="009B5D6A"/>
    <w:rsid w:val="009B6B24"/>
    <w:rsid w:val="009C022F"/>
    <w:rsid w:val="009C1126"/>
    <w:rsid w:val="009C1425"/>
    <w:rsid w:val="009C159C"/>
    <w:rsid w:val="009C1D07"/>
    <w:rsid w:val="009C246A"/>
    <w:rsid w:val="009C286C"/>
    <w:rsid w:val="009C2ACB"/>
    <w:rsid w:val="009C2BEB"/>
    <w:rsid w:val="009C2D1D"/>
    <w:rsid w:val="009C3567"/>
    <w:rsid w:val="009C3BAE"/>
    <w:rsid w:val="009C4963"/>
    <w:rsid w:val="009C517C"/>
    <w:rsid w:val="009C5285"/>
    <w:rsid w:val="009C563D"/>
    <w:rsid w:val="009C596F"/>
    <w:rsid w:val="009C674D"/>
    <w:rsid w:val="009C7DCB"/>
    <w:rsid w:val="009D06AD"/>
    <w:rsid w:val="009D0B90"/>
    <w:rsid w:val="009D117E"/>
    <w:rsid w:val="009D149A"/>
    <w:rsid w:val="009D1A66"/>
    <w:rsid w:val="009D1D81"/>
    <w:rsid w:val="009D1E82"/>
    <w:rsid w:val="009D24E9"/>
    <w:rsid w:val="009D2862"/>
    <w:rsid w:val="009D2B46"/>
    <w:rsid w:val="009D3500"/>
    <w:rsid w:val="009D3730"/>
    <w:rsid w:val="009D3911"/>
    <w:rsid w:val="009D46DA"/>
    <w:rsid w:val="009D4EF3"/>
    <w:rsid w:val="009D5453"/>
    <w:rsid w:val="009D55F7"/>
    <w:rsid w:val="009D6A93"/>
    <w:rsid w:val="009D6E4B"/>
    <w:rsid w:val="009D7A75"/>
    <w:rsid w:val="009E00B4"/>
    <w:rsid w:val="009E02B5"/>
    <w:rsid w:val="009E13EF"/>
    <w:rsid w:val="009E1D29"/>
    <w:rsid w:val="009E275A"/>
    <w:rsid w:val="009E2873"/>
    <w:rsid w:val="009E2B3F"/>
    <w:rsid w:val="009E2DAA"/>
    <w:rsid w:val="009E2EA0"/>
    <w:rsid w:val="009E2F08"/>
    <w:rsid w:val="009E558F"/>
    <w:rsid w:val="009E5C21"/>
    <w:rsid w:val="009E62A5"/>
    <w:rsid w:val="009E64CE"/>
    <w:rsid w:val="009E68F3"/>
    <w:rsid w:val="009E72C7"/>
    <w:rsid w:val="009F085A"/>
    <w:rsid w:val="009F29FF"/>
    <w:rsid w:val="009F3BC2"/>
    <w:rsid w:val="009F3F65"/>
    <w:rsid w:val="009F58EC"/>
    <w:rsid w:val="009F5D11"/>
    <w:rsid w:val="009F619E"/>
    <w:rsid w:val="009F61BA"/>
    <w:rsid w:val="009F73F9"/>
    <w:rsid w:val="009F7420"/>
    <w:rsid w:val="009F7E43"/>
    <w:rsid w:val="00A00C5A"/>
    <w:rsid w:val="00A0136A"/>
    <w:rsid w:val="00A02BDD"/>
    <w:rsid w:val="00A031AF"/>
    <w:rsid w:val="00A03287"/>
    <w:rsid w:val="00A0339B"/>
    <w:rsid w:val="00A03546"/>
    <w:rsid w:val="00A038CC"/>
    <w:rsid w:val="00A03D46"/>
    <w:rsid w:val="00A040CA"/>
    <w:rsid w:val="00A0519D"/>
    <w:rsid w:val="00A0523E"/>
    <w:rsid w:val="00A05A11"/>
    <w:rsid w:val="00A06210"/>
    <w:rsid w:val="00A10E4A"/>
    <w:rsid w:val="00A11A59"/>
    <w:rsid w:val="00A12200"/>
    <w:rsid w:val="00A1230F"/>
    <w:rsid w:val="00A12B8A"/>
    <w:rsid w:val="00A13047"/>
    <w:rsid w:val="00A13463"/>
    <w:rsid w:val="00A13AA9"/>
    <w:rsid w:val="00A141AC"/>
    <w:rsid w:val="00A16A65"/>
    <w:rsid w:val="00A20CF2"/>
    <w:rsid w:val="00A21952"/>
    <w:rsid w:val="00A22FE7"/>
    <w:rsid w:val="00A244F9"/>
    <w:rsid w:val="00A251CA"/>
    <w:rsid w:val="00A25D41"/>
    <w:rsid w:val="00A26522"/>
    <w:rsid w:val="00A2771B"/>
    <w:rsid w:val="00A304A4"/>
    <w:rsid w:val="00A31985"/>
    <w:rsid w:val="00A3219E"/>
    <w:rsid w:val="00A324F2"/>
    <w:rsid w:val="00A328A1"/>
    <w:rsid w:val="00A328E7"/>
    <w:rsid w:val="00A33A12"/>
    <w:rsid w:val="00A34C08"/>
    <w:rsid w:val="00A3515C"/>
    <w:rsid w:val="00A3581E"/>
    <w:rsid w:val="00A368C3"/>
    <w:rsid w:val="00A36F80"/>
    <w:rsid w:val="00A40492"/>
    <w:rsid w:val="00A40BD2"/>
    <w:rsid w:val="00A414A2"/>
    <w:rsid w:val="00A417F4"/>
    <w:rsid w:val="00A42B25"/>
    <w:rsid w:val="00A43C2F"/>
    <w:rsid w:val="00A43D49"/>
    <w:rsid w:val="00A43F96"/>
    <w:rsid w:val="00A44185"/>
    <w:rsid w:val="00A44CD5"/>
    <w:rsid w:val="00A460B4"/>
    <w:rsid w:val="00A46601"/>
    <w:rsid w:val="00A474DE"/>
    <w:rsid w:val="00A475F7"/>
    <w:rsid w:val="00A500CF"/>
    <w:rsid w:val="00A505B1"/>
    <w:rsid w:val="00A5080D"/>
    <w:rsid w:val="00A51B5B"/>
    <w:rsid w:val="00A520D3"/>
    <w:rsid w:val="00A52789"/>
    <w:rsid w:val="00A52AAB"/>
    <w:rsid w:val="00A54A17"/>
    <w:rsid w:val="00A54AB5"/>
    <w:rsid w:val="00A552FB"/>
    <w:rsid w:val="00A559B0"/>
    <w:rsid w:val="00A55F84"/>
    <w:rsid w:val="00A561D4"/>
    <w:rsid w:val="00A5691A"/>
    <w:rsid w:val="00A571D3"/>
    <w:rsid w:val="00A57223"/>
    <w:rsid w:val="00A57407"/>
    <w:rsid w:val="00A579FF"/>
    <w:rsid w:val="00A57E53"/>
    <w:rsid w:val="00A57F90"/>
    <w:rsid w:val="00A60702"/>
    <w:rsid w:val="00A607FC"/>
    <w:rsid w:val="00A60AD3"/>
    <w:rsid w:val="00A612F4"/>
    <w:rsid w:val="00A61660"/>
    <w:rsid w:val="00A6176B"/>
    <w:rsid w:val="00A61ED9"/>
    <w:rsid w:val="00A62090"/>
    <w:rsid w:val="00A63CAF"/>
    <w:rsid w:val="00A649A9"/>
    <w:rsid w:val="00A64B30"/>
    <w:rsid w:val="00A65311"/>
    <w:rsid w:val="00A66BDB"/>
    <w:rsid w:val="00A66F06"/>
    <w:rsid w:val="00A66F3B"/>
    <w:rsid w:val="00A673F2"/>
    <w:rsid w:val="00A67821"/>
    <w:rsid w:val="00A67D2E"/>
    <w:rsid w:val="00A67E6B"/>
    <w:rsid w:val="00A7151A"/>
    <w:rsid w:val="00A715DD"/>
    <w:rsid w:val="00A71B05"/>
    <w:rsid w:val="00A72A33"/>
    <w:rsid w:val="00A730F5"/>
    <w:rsid w:val="00A73216"/>
    <w:rsid w:val="00A73A81"/>
    <w:rsid w:val="00A73C0E"/>
    <w:rsid w:val="00A73D38"/>
    <w:rsid w:val="00A73F24"/>
    <w:rsid w:val="00A73F51"/>
    <w:rsid w:val="00A747C3"/>
    <w:rsid w:val="00A759B4"/>
    <w:rsid w:val="00A75C7C"/>
    <w:rsid w:val="00A76D5F"/>
    <w:rsid w:val="00A77441"/>
    <w:rsid w:val="00A800ED"/>
    <w:rsid w:val="00A80B51"/>
    <w:rsid w:val="00A8168F"/>
    <w:rsid w:val="00A8185E"/>
    <w:rsid w:val="00A83026"/>
    <w:rsid w:val="00A833C2"/>
    <w:rsid w:val="00A83D35"/>
    <w:rsid w:val="00A84628"/>
    <w:rsid w:val="00A84AC1"/>
    <w:rsid w:val="00A8555F"/>
    <w:rsid w:val="00A86C3E"/>
    <w:rsid w:val="00A872F4"/>
    <w:rsid w:val="00A874E2"/>
    <w:rsid w:val="00A876A3"/>
    <w:rsid w:val="00A87BA9"/>
    <w:rsid w:val="00A90ADC"/>
    <w:rsid w:val="00A90AE8"/>
    <w:rsid w:val="00A9153E"/>
    <w:rsid w:val="00A9185E"/>
    <w:rsid w:val="00A925AC"/>
    <w:rsid w:val="00A928BB"/>
    <w:rsid w:val="00A930EE"/>
    <w:rsid w:val="00A93192"/>
    <w:rsid w:val="00A93228"/>
    <w:rsid w:val="00A93A87"/>
    <w:rsid w:val="00A93F52"/>
    <w:rsid w:val="00A93FFE"/>
    <w:rsid w:val="00A941CE"/>
    <w:rsid w:val="00A94811"/>
    <w:rsid w:val="00A948B6"/>
    <w:rsid w:val="00A94C84"/>
    <w:rsid w:val="00A95533"/>
    <w:rsid w:val="00A95CE4"/>
    <w:rsid w:val="00A96282"/>
    <w:rsid w:val="00A97470"/>
    <w:rsid w:val="00A975FE"/>
    <w:rsid w:val="00AA0BA3"/>
    <w:rsid w:val="00AA10CC"/>
    <w:rsid w:val="00AA1227"/>
    <w:rsid w:val="00AA146B"/>
    <w:rsid w:val="00AA2AFE"/>
    <w:rsid w:val="00AA4419"/>
    <w:rsid w:val="00AA4680"/>
    <w:rsid w:val="00AA480D"/>
    <w:rsid w:val="00AA554B"/>
    <w:rsid w:val="00AA5FC1"/>
    <w:rsid w:val="00AA6679"/>
    <w:rsid w:val="00AA679B"/>
    <w:rsid w:val="00AA6911"/>
    <w:rsid w:val="00AA6D0B"/>
    <w:rsid w:val="00AA700B"/>
    <w:rsid w:val="00AA71D7"/>
    <w:rsid w:val="00AA7D5E"/>
    <w:rsid w:val="00AB074D"/>
    <w:rsid w:val="00AB08E4"/>
    <w:rsid w:val="00AB0F96"/>
    <w:rsid w:val="00AB0FDE"/>
    <w:rsid w:val="00AB456F"/>
    <w:rsid w:val="00AB5387"/>
    <w:rsid w:val="00AB6051"/>
    <w:rsid w:val="00AB68E0"/>
    <w:rsid w:val="00AB6B43"/>
    <w:rsid w:val="00AB7472"/>
    <w:rsid w:val="00AC02B9"/>
    <w:rsid w:val="00AC0E2D"/>
    <w:rsid w:val="00AC0FCD"/>
    <w:rsid w:val="00AC161C"/>
    <w:rsid w:val="00AC1A68"/>
    <w:rsid w:val="00AC25DE"/>
    <w:rsid w:val="00AC3357"/>
    <w:rsid w:val="00AC4524"/>
    <w:rsid w:val="00AC5D28"/>
    <w:rsid w:val="00AC6045"/>
    <w:rsid w:val="00AC6A1D"/>
    <w:rsid w:val="00AC70F3"/>
    <w:rsid w:val="00AC744F"/>
    <w:rsid w:val="00AC7EF3"/>
    <w:rsid w:val="00AD14B4"/>
    <w:rsid w:val="00AD1FB6"/>
    <w:rsid w:val="00AD1FD4"/>
    <w:rsid w:val="00AD3A0C"/>
    <w:rsid w:val="00AD3AB2"/>
    <w:rsid w:val="00AD3DF5"/>
    <w:rsid w:val="00AD526A"/>
    <w:rsid w:val="00AD5E2B"/>
    <w:rsid w:val="00AD7553"/>
    <w:rsid w:val="00AD7B00"/>
    <w:rsid w:val="00AE0660"/>
    <w:rsid w:val="00AE07C7"/>
    <w:rsid w:val="00AE1AB4"/>
    <w:rsid w:val="00AE27EE"/>
    <w:rsid w:val="00AE3155"/>
    <w:rsid w:val="00AE3762"/>
    <w:rsid w:val="00AE3AC1"/>
    <w:rsid w:val="00AE4AA9"/>
    <w:rsid w:val="00AE5019"/>
    <w:rsid w:val="00AE6153"/>
    <w:rsid w:val="00AE7071"/>
    <w:rsid w:val="00AE7080"/>
    <w:rsid w:val="00AE76EC"/>
    <w:rsid w:val="00AF0704"/>
    <w:rsid w:val="00AF35DF"/>
    <w:rsid w:val="00AF372A"/>
    <w:rsid w:val="00AF42CA"/>
    <w:rsid w:val="00AF4631"/>
    <w:rsid w:val="00AF4CDE"/>
    <w:rsid w:val="00AF4CEF"/>
    <w:rsid w:val="00AF4DCD"/>
    <w:rsid w:val="00AF55E6"/>
    <w:rsid w:val="00AF56C0"/>
    <w:rsid w:val="00AF6138"/>
    <w:rsid w:val="00AF6543"/>
    <w:rsid w:val="00AF6B9C"/>
    <w:rsid w:val="00AF79D9"/>
    <w:rsid w:val="00AF7A1D"/>
    <w:rsid w:val="00AF7AE1"/>
    <w:rsid w:val="00AF7EE6"/>
    <w:rsid w:val="00B01A46"/>
    <w:rsid w:val="00B024FA"/>
    <w:rsid w:val="00B025BB"/>
    <w:rsid w:val="00B02DBC"/>
    <w:rsid w:val="00B035D4"/>
    <w:rsid w:val="00B03D2B"/>
    <w:rsid w:val="00B0413E"/>
    <w:rsid w:val="00B04209"/>
    <w:rsid w:val="00B04433"/>
    <w:rsid w:val="00B04AB6"/>
    <w:rsid w:val="00B07500"/>
    <w:rsid w:val="00B100DA"/>
    <w:rsid w:val="00B10214"/>
    <w:rsid w:val="00B1056E"/>
    <w:rsid w:val="00B10E95"/>
    <w:rsid w:val="00B122A4"/>
    <w:rsid w:val="00B1289D"/>
    <w:rsid w:val="00B12B60"/>
    <w:rsid w:val="00B12E8F"/>
    <w:rsid w:val="00B13B18"/>
    <w:rsid w:val="00B14220"/>
    <w:rsid w:val="00B142D0"/>
    <w:rsid w:val="00B15543"/>
    <w:rsid w:val="00B160EC"/>
    <w:rsid w:val="00B1691A"/>
    <w:rsid w:val="00B17418"/>
    <w:rsid w:val="00B17BAD"/>
    <w:rsid w:val="00B218DA"/>
    <w:rsid w:val="00B2310B"/>
    <w:rsid w:val="00B23B7B"/>
    <w:rsid w:val="00B23BC4"/>
    <w:rsid w:val="00B23C4C"/>
    <w:rsid w:val="00B23C9F"/>
    <w:rsid w:val="00B247F6"/>
    <w:rsid w:val="00B24DB6"/>
    <w:rsid w:val="00B25A38"/>
    <w:rsid w:val="00B25C31"/>
    <w:rsid w:val="00B26281"/>
    <w:rsid w:val="00B26C9F"/>
    <w:rsid w:val="00B26F77"/>
    <w:rsid w:val="00B303CA"/>
    <w:rsid w:val="00B306C2"/>
    <w:rsid w:val="00B327C2"/>
    <w:rsid w:val="00B32D1D"/>
    <w:rsid w:val="00B33172"/>
    <w:rsid w:val="00B333C3"/>
    <w:rsid w:val="00B33649"/>
    <w:rsid w:val="00B34A20"/>
    <w:rsid w:val="00B35111"/>
    <w:rsid w:val="00B35A99"/>
    <w:rsid w:val="00B35D09"/>
    <w:rsid w:val="00B36360"/>
    <w:rsid w:val="00B36E09"/>
    <w:rsid w:val="00B371C5"/>
    <w:rsid w:val="00B40391"/>
    <w:rsid w:val="00B409EB"/>
    <w:rsid w:val="00B41F36"/>
    <w:rsid w:val="00B4213D"/>
    <w:rsid w:val="00B4302A"/>
    <w:rsid w:val="00B43118"/>
    <w:rsid w:val="00B44226"/>
    <w:rsid w:val="00B442C6"/>
    <w:rsid w:val="00B44856"/>
    <w:rsid w:val="00B45719"/>
    <w:rsid w:val="00B45A39"/>
    <w:rsid w:val="00B46382"/>
    <w:rsid w:val="00B46D11"/>
    <w:rsid w:val="00B47591"/>
    <w:rsid w:val="00B477E0"/>
    <w:rsid w:val="00B50196"/>
    <w:rsid w:val="00B518B4"/>
    <w:rsid w:val="00B51C95"/>
    <w:rsid w:val="00B51F5E"/>
    <w:rsid w:val="00B52C5F"/>
    <w:rsid w:val="00B53D31"/>
    <w:rsid w:val="00B5483D"/>
    <w:rsid w:val="00B54ACC"/>
    <w:rsid w:val="00B556CA"/>
    <w:rsid w:val="00B55C95"/>
    <w:rsid w:val="00B561A6"/>
    <w:rsid w:val="00B56D5C"/>
    <w:rsid w:val="00B57B5E"/>
    <w:rsid w:val="00B60BE3"/>
    <w:rsid w:val="00B61441"/>
    <w:rsid w:val="00B61BF4"/>
    <w:rsid w:val="00B627AB"/>
    <w:rsid w:val="00B634A3"/>
    <w:rsid w:val="00B636B9"/>
    <w:rsid w:val="00B6399C"/>
    <w:rsid w:val="00B64333"/>
    <w:rsid w:val="00B64AE4"/>
    <w:rsid w:val="00B64B3E"/>
    <w:rsid w:val="00B64D7A"/>
    <w:rsid w:val="00B65189"/>
    <w:rsid w:val="00B65305"/>
    <w:rsid w:val="00B6532B"/>
    <w:rsid w:val="00B65700"/>
    <w:rsid w:val="00B65AE7"/>
    <w:rsid w:val="00B65EAA"/>
    <w:rsid w:val="00B66069"/>
    <w:rsid w:val="00B66E07"/>
    <w:rsid w:val="00B67120"/>
    <w:rsid w:val="00B67680"/>
    <w:rsid w:val="00B6783E"/>
    <w:rsid w:val="00B67E28"/>
    <w:rsid w:val="00B70180"/>
    <w:rsid w:val="00B717D5"/>
    <w:rsid w:val="00B71ED0"/>
    <w:rsid w:val="00B7268D"/>
    <w:rsid w:val="00B728E9"/>
    <w:rsid w:val="00B732D8"/>
    <w:rsid w:val="00B7338F"/>
    <w:rsid w:val="00B73709"/>
    <w:rsid w:val="00B738C8"/>
    <w:rsid w:val="00B73A1B"/>
    <w:rsid w:val="00B73CCB"/>
    <w:rsid w:val="00B741D4"/>
    <w:rsid w:val="00B74415"/>
    <w:rsid w:val="00B765BF"/>
    <w:rsid w:val="00B77CE3"/>
    <w:rsid w:val="00B77F69"/>
    <w:rsid w:val="00B802EB"/>
    <w:rsid w:val="00B80A2D"/>
    <w:rsid w:val="00B80A8D"/>
    <w:rsid w:val="00B80AE5"/>
    <w:rsid w:val="00B8153D"/>
    <w:rsid w:val="00B81D88"/>
    <w:rsid w:val="00B81E53"/>
    <w:rsid w:val="00B826BF"/>
    <w:rsid w:val="00B8284F"/>
    <w:rsid w:val="00B8331F"/>
    <w:rsid w:val="00B839FB"/>
    <w:rsid w:val="00B83ADB"/>
    <w:rsid w:val="00B83DA0"/>
    <w:rsid w:val="00B840E1"/>
    <w:rsid w:val="00B84FFC"/>
    <w:rsid w:val="00B85EFC"/>
    <w:rsid w:val="00B8664A"/>
    <w:rsid w:val="00B875EC"/>
    <w:rsid w:val="00B87888"/>
    <w:rsid w:val="00B87BDD"/>
    <w:rsid w:val="00B87EBC"/>
    <w:rsid w:val="00B90003"/>
    <w:rsid w:val="00B90F18"/>
    <w:rsid w:val="00B9129F"/>
    <w:rsid w:val="00B91743"/>
    <w:rsid w:val="00B91760"/>
    <w:rsid w:val="00B921BE"/>
    <w:rsid w:val="00B9225A"/>
    <w:rsid w:val="00B92DF7"/>
    <w:rsid w:val="00B9332F"/>
    <w:rsid w:val="00B93A05"/>
    <w:rsid w:val="00B93D08"/>
    <w:rsid w:val="00B9435B"/>
    <w:rsid w:val="00B955C0"/>
    <w:rsid w:val="00B95C7E"/>
    <w:rsid w:val="00B95FF2"/>
    <w:rsid w:val="00B96234"/>
    <w:rsid w:val="00B96418"/>
    <w:rsid w:val="00B9653C"/>
    <w:rsid w:val="00B96638"/>
    <w:rsid w:val="00B96C92"/>
    <w:rsid w:val="00B974A7"/>
    <w:rsid w:val="00B97F22"/>
    <w:rsid w:val="00BA03BC"/>
    <w:rsid w:val="00BA0D66"/>
    <w:rsid w:val="00BA2A8C"/>
    <w:rsid w:val="00BA2F90"/>
    <w:rsid w:val="00BA2FD1"/>
    <w:rsid w:val="00BA396D"/>
    <w:rsid w:val="00BA3B2A"/>
    <w:rsid w:val="00BA3C5D"/>
    <w:rsid w:val="00BA4A6E"/>
    <w:rsid w:val="00BA4FA4"/>
    <w:rsid w:val="00BA643D"/>
    <w:rsid w:val="00BA653C"/>
    <w:rsid w:val="00BA736B"/>
    <w:rsid w:val="00BA7B93"/>
    <w:rsid w:val="00BB0E59"/>
    <w:rsid w:val="00BB1713"/>
    <w:rsid w:val="00BB17E6"/>
    <w:rsid w:val="00BB267C"/>
    <w:rsid w:val="00BB26E1"/>
    <w:rsid w:val="00BB2708"/>
    <w:rsid w:val="00BB2D93"/>
    <w:rsid w:val="00BB2F59"/>
    <w:rsid w:val="00BB460D"/>
    <w:rsid w:val="00BB4867"/>
    <w:rsid w:val="00BB50A5"/>
    <w:rsid w:val="00BB50D1"/>
    <w:rsid w:val="00BB52EE"/>
    <w:rsid w:val="00BB64B7"/>
    <w:rsid w:val="00BB7628"/>
    <w:rsid w:val="00BB7703"/>
    <w:rsid w:val="00BB78E3"/>
    <w:rsid w:val="00BB7A54"/>
    <w:rsid w:val="00BB7F5E"/>
    <w:rsid w:val="00BC0091"/>
    <w:rsid w:val="00BC0B31"/>
    <w:rsid w:val="00BC0CD3"/>
    <w:rsid w:val="00BC0E6B"/>
    <w:rsid w:val="00BC0E7B"/>
    <w:rsid w:val="00BC19B8"/>
    <w:rsid w:val="00BC3273"/>
    <w:rsid w:val="00BC3DD4"/>
    <w:rsid w:val="00BC4390"/>
    <w:rsid w:val="00BC5975"/>
    <w:rsid w:val="00BC5A81"/>
    <w:rsid w:val="00BC5EFA"/>
    <w:rsid w:val="00BC5FE9"/>
    <w:rsid w:val="00BC6558"/>
    <w:rsid w:val="00BC6B83"/>
    <w:rsid w:val="00BD0600"/>
    <w:rsid w:val="00BD0FDD"/>
    <w:rsid w:val="00BD1586"/>
    <w:rsid w:val="00BD2165"/>
    <w:rsid w:val="00BD2BC5"/>
    <w:rsid w:val="00BD3DAA"/>
    <w:rsid w:val="00BD43F8"/>
    <w:rsid w:val="00BD5D15"/>
    <w:rsid w:val="00BD5F2F"/>
    <w:rsid w:val="00BD68BB"/>
    <w:rsid w:val="00BE0219"/>
    <w:rsid w:val="00BE0BA5"/>
    <w:rsid w:val="00BE0BBE"/>
    <w:rsid w:val="00BE2709"/>
    <w:rsid w:val="00BE3667"/>
    <w:rsid w:val="00BE43A3"/>
    <w:rsid w:val="00BE5F1C"/>
    <w:rsid w:val="00BE683D"/>
    <w:rsid w:val="00BE691F"/>
    <w:rsid w:val="00BE7213"/>
    <w:rsid w:val="00BE741D"/>
    <w:rsid w:val="00BE7443"/>
    <w:rsid w:val="00BE796B"/>
    <w:rsid w:val="00BE7AF2"/>
    <w:rsid w:val="00BE7E7A"/>
    <w:rsid w:val="00BF069B"/>
    <w:rsid w:val="00BF0D76"/>
    <w:rsid w:val="00BF0FC3"/>
    <w:rsid w:val="00BF15E5"/>
    <w:rsid w:val="00BF2E44"/>
    <w:rsid w:val="00BF3490"/>
    <w:rsid w:val="00BF34E8"/>
    <w:rsid w:val="00BF3527"/>
    <w:rsid w:val="00BF4144"/>
    <w:rsid w:val="00BF4AAD"/>
    <w:rsid w:val="00BF56C0"/>
    <w:rsid w:val="00BF5708"/>
    <w:rsid w:val="00BF5990"/>
    <w:rsid w:val="00BF59BD"/>
    <w:rsid w:val="00BF5C7D"/>
    <w:rsid w:val="00BF5FB9"/>
    <w:rsid w:val="00BF74D6"/>
    <w:rsid w:val="00BF7B96"/>
    <w:rsid w:val="00C00392"/>
    <w:rsid w:val="00C0041A"/>
    <w:rsid w:val="00C00CFD"/>
    <w:rsid w:val="00C015C8"/>
    <w:rsid w:val="00C01625"/>
    <w:rsid w:val="00C01FB8"/>
    <w:rsid w:val="00C0374A"/>
    <w:rsid w:val="00C04377"/>
    <w:rsid w:val="00C04F11"/>
    <w:rsid w:val="00C06294"/>
    <w:rsid w:val="00C06484"/>
    <w:rsid w:val="00C0709E"/>
    <w:rsid w:val="00C070E2"/>
    <w:rsid w:val="00C07179"/>
    <w:rsid w:val="00C07B14"/>
    <w:rsid w:val="00C07DDC"/>
    <w:rsid w:val="00C07E22"/>
    <w:rsid w:val="00C10C28"/>
    <w:rsid w:val="00C10DBB"/>
    <w:rsid w:val="00C1144D"/>
    <w:rsid w:val="00C11745"/>
    <w:rsid w:val="00C12408"/>
    <w:rsid w:val="00C12478"/>
    <w:rsid w:val="00C128EE"/>
    <w:rsid w:val="00C12F3C"/>
    <w:rsid w:val="00C13C7C"/>
    <w:rsid w:val="00C13FEC"/>
    <w:rsid w:val="00C14503"/>
    <w:rsid w:val="00C14E5F"/>
    <w:rsid w:val="00C156E9"/>
    <w:rsid w:val="00C15B2C"/>
    <w:rsid w:val="00C15B82"/>
    <w:rsid w:val="00C15BAA"/>
    <w:rsid w:val="00C15BC6"/>
    <w:rsid w:val="00C15E6E"/>
    <w:rsid w:val="00C170A3"/>
    <w:rsid w:val="00C170DC"/>
    <w:rsid w:val="00C17B7F"/>
    <w:rsid w:val="00C17CF6"/>
    <w:rsid w:val="00C20CD0"/>
    <w:rsid w:val="00C215BA"/>
    <w:rsid w:val="00C21C88"/>
    <w:rsid w:val="00C224D6"/>
    <w:rsid w:val="00C22A84"/>
    <w:rsid w:val="00C232E7"/>
    <w:rsid w:val="00C240CC"/>
    <w:rsid w:val="00C24337"/>
    <w:rsid w:val="00C24A35"/>
    <w:rsid w:val="00C26202"/>
    <w:rsid w:val="00C26535"/>
    <w:rsid w:val="00C266F8"/>
    <w:rsid w:val="00C26B0F"/>
    <w:rsid w:val="00C26B94"/>
    <w:rsid w:val="00C27267"/>
    <w:rsid w:val="00C27B94"/>
    <w:rsid w:val="00C27CBF"/>
    <w:rsid w:val="00C30D79"/>
    <w:rsid w:val="00C3284F"/>
    <w:rsid w:val="00C329F0"/>
    <w:rsid w:val="00C32A67"/>
    <w:rsid w:val="00C32A89"/>
    <w:rsid w:val="00C32DD4"/>
    <w:rsid w:val="00C32E01"/>
    <w:rsid w:val="00C3398D"/>
    <w:rsid w:val="00C3448C"/>
    <w:rsid w:val="00C348FB"/>
    <w:rsid w:val="00C34C22"/>
    <w:rsid w:val="00C35485"/>
    <w:rsid w:val="00C357C3"/>
    <w:rsid w:val="00C35FBB"/>
    <w:rsid w:val="00C360BE"/>
    <w:rsid w:val="00C37832"/>
    <w:rsid w:val="00C37A1F"/>
    <w:rsid w:val="00C37C08"/>
    <w:rsid w:val="00C4097F"/>
    <w:rsid w:val="00C40B73"/>
    <w:rsid w:val="00C413CE"/>
    <w:rsid w:val="00C41920"/>
    <w:rsid w:val="00C42566"/>
    <w:rsid w:val="00C43873"/>
    <w:rsid w:val="00C44639"/>
    <w:rsid w:val="00C45A55"/>
    <w:rsid w:val="00C45FC0"/>
    <w:rsid w:val="00C46798"/>
    <w:rsid w:val="00C4715D"/>
    <w:rsid w:val="00C47607"/>
    <w:rsid w:val="00C479BB"/>
    <w:rsid w:val="00C47B32"/>
    <w:rsid w:val="00C47EC4"/>
    <w:rsid w:val="00C5011C"/>
    <w:rsid w:val="00C50C1B"/>
    <w:rsid w:val="00C51F2F"/>
    <w:rsid w:val="00C5288B"/>
    <w:rsid w:val="00C5343C"/>
    <w:rsid w:val="00C53DED"/>
    <w:rsid w:val="00C54721"/>
    <w:rsid w:val="00C54776"/>
    <w:rsid w:val="00C54AD2"/>
    <w:rsid w:val="00C55415"/>
    <w:rsid w:val="00C55CF5"/>
    <w:rsid w:val="00C5612F"/>
    <w:rsid w:val="00C56453"/>
    <w:rsid w:val="00C56CFD"/>
    <w:rsid w:val="00C57A55"/>
    <w:rsid w:val="00C6023D"/>
    <w:rsid w:val="00C60AD9"/>
    <w:rsid w:val="00C60C2D"/>
    <w:rsid w:val="00C61302"/>
    <w:rsid w:val="00C61D8C"/>
    <w:rsid w:val="00C62225"/>
    <w:rsid w:val="00C62307"/>
    <w:rsid w:val="00C6284C"/>
    <w:rsid w:val="00C63B6D"/>
    <w:rsid w:val="00C64633"/>
    <w:rsid w:val="00C6549D"/>
    <w:rsid w:val="00C65780"/>
    <w:rsid w:val="00C6584A"/>
    <w:rsid w:val="00C661E8"/>
    <w:rsid w:val="00C7089C"/>
    <w:rsid w:val="00C7127C"/>
    <w:rsid w:val="00C72C6E"/>
    <w:rsid w:val="00C72E70"/>
    <w:rsid w:val="00C7341F"/>
    <w:rsid w:val="00C75770"/>
    <w:rsid w:val="00C76AD4"/>
    <w:rsid w:val="00C76C53"/>
    <w:rsid w:val="00C7738D"/>
    <w:rsid w:val="00C77A7F"/>
    <w:rsid w:val="00C77F43"/>
    <w:rsid w:val="00C80091"/>
    <w:rsid w:val="00C800D6"/>
    <w:rsid w:val="00C8010E"/>
    <w:rsid w:val="00C80D03"/>
    <w:rsid w:val="00C8144E"/>
    <w:rsid w:val="00C8229A"/>
    <w:rsid w:val="00C83A99"/>
    <w:rsid w:val="00C848E9"/>
    <w:rsid w:val="00C84C3D"/>
    <w:rsid w:val="00C85E06"/>
    <w:rsid w:val="00C86366"/>
    <w:rsid w:val="00C872ED"/>
    <w:rsid w:val="00C87518"/>
    <w:rsid w:val="00C87AC0"/>
    <w:rsid w:val="00C90BA1"/>
    <w:rsid w:val="00C90F28"/>
    <w:rsid w:val="00C91CFE"/>
    <w:rsid w:val="00C92204"/>
    <w:rsid w:val="00C928F2"/>
    <w:rsid w:val="00C9359F"/>
    <w:rsid w:val="00C946B3"/>
    <w:rsid w:val="00C957B0"/>
    <w:rsid w:val="00C966AE"/>
    <w:rsid w:val="00C968E6"/>
    <w:rsid w:val="00C96FBE"/>
    <w:rsid w:val="00C9755A"/>
    <w:rsid w:val="00CA05CE"/>
    <w:rsid w:val="00CA0B00"/>
    <w:rsid w:val="00CA0EA1"/>
    <w:rsid w:val="00CA1746"/>
    <w:rsid w:val="00CA1D06"/>
    <w:rsid w:val="00CA30C8"/>
    <w:rsid w:val="00CA3F6A"/>
    <w:rsid w:val="00CA427E"/>
    <w:rsid w:val="00CA476E"/>
    <w:rsid w:val="00CA4789"/>
    <w:rsid w:val="00CA53E1"/>
    <w:rsid w:val="00CA5473"/>
    <w:rsid w:val="00CA59E7"/>
    <w:rsid w:val="00CA63A7"/>
    <w:rsid w:val="00CA63AF"/>
    <w:rsid w:val="00CA7472"/>
    <w:rsid w:val="00CA76C3"/>
    <w:rsid w:val="00CA792F"/>
    <w:rsid w:val="00CA7B30"/>
    <w:rsid w:val="00CB033A"/>
    <w:rsid w:val="00CB0D1A"/>
    <w:rsid w:val="00CB0F4F"/>
    <w:rsid w:val="00CB1BF7"/>
    <w:rsid w:val="00CB1F46"/>
    <w:rsid w:val="00CB204C"/>
    <w:rsid w:val="00CB3AB4"/>
    <w:rsid w:val="00CB4D87"/>
    <w:rsid w:val="00CB4DB8"/>
    <w:rsid w:val="00CB59DC"/>
    <w:rsid w:val="00CB5A82"/>
    <w:rsid w:val="00CB68A9"/>
    <w:rsid w:val="00CB69F1"/>
    <w:rsid w:val="00CB700C"/>
    <w:rsid w:val="00CB7740"/>
    <w:rsid w:val="00CC019E"/>
    <w:rsid w:val="00CC080E"/>
    <w:rsid w:val="00CC0990"/>
    <w:rsid w:val="00CC0B1F"/>
    <w:rsid w:val="00CC1B4B"/>
    <w:rsid w:val="00CC1D84"/>
    <w:rsid w:val="00CC2A6F"/>
    <w:rsid w:val="00CC40E3"/>
    <w:rsid w:val="00CC47F9"/>
    <w:rsid w:val="00CC5104"/>
    <w:rsid w:val="00CC5BDB"/>
    <w:rsid w:val="00CC5E17"/>
    <w:rsid w:val="00CC66D8"/>
    <w:rsid w:val="00CC6A0C"/>
    <w:rsid w:val="00CC7525"/>
    <w:rsid w:val="00CC7A8A"/>
    <w:rsid w:val="00CC7FA2"/>
    <w:rsid w:val="00CD0E4D"/>
    <w:rsid w:val="00CD1EEF"/>
    <w:rsid w:val="00CD2784"/>
    <w:rsid w:val="00CD371D"/>
    <w:rsid w:val="00CD46B2"/>
    <w:rsid w:val="00CD4A33"/>
    <w:rsid w:val="00CD5526"/>
    <w:rsid w:val="00CD6833"/>
    <w:rsid w:val="00CD6943"/>
    <w:rsid w:val="00CD6E93"/>
    <w:rsid w:val="00CD77A0"/>
    <w:rsid w:val="00CE08A1"/>
    <w:rsid w:val="00CE0E1E"/>
    <w:rsid w:val="00CE172C"/>
    <w:rsid w:val="00CE17A5"/>
    <w:rsid w:val="00CE1D85"/>
    <w:rsid w:val="00CE29D2"/>
    <w:rsid w:val="00CE3CDF"/>
    <w:rsid w:val="00CE3FE3"/>
    <w:rsid w:val="00CE405C"/>
    <w:rsid w:val="00CE40EF"/>
    <w:rsid w:val="00CE4A38"/>
    <w:rsid w:val="00CE59E1"/>
    <w:rsid w:val="00CE5AFE"/>
    <w:rsid w:val="00CE5BCD"/>
    <w:rsid w:val="00CE6D26"/>
    <w:rsid w:val="00CF00A5"/>
    <w:rsid w:val="00CF06EE"/>
    <w:rsid w:val="00CF143A"/>
    <w:rsid w:val="00CF2171"/>
    <w:rsid w:val="00CF2411"/>
    <w:rsid w:val="00CF282A"/>
    <w:rsid w:val="00CF2FC4"/>
    <w:rsid w:val="00CF3C22"/>
    <w:rsid w:val="00CF4642"/>
    <w:rsid w:val="00CF4F31"/>
    <w:rsid w:val="00CF58D4"/>
    <w:rsid w:val="00CF5A8C"/>
    <w:rsid w:val="00CF5CAC"/>
    <w:rsid w:val="00CF5F63"/>
    <w:rsid w:val="00CF6FF3"/>
    <w:rsid w:val="00D000DF"/>
    <w:rsid w:val="00D0048E"/>
    <w:rsid w:val="00D00C50"/>
    <w:rsid w:val="00D010E5"/>
    <w:rsid w:val="00D01437"/>
    <w:rsid w:val="00D0164E"/>
    <w:rsid w:val="00D021D8"/>
    <w:rsid w:val="00D02902"/>
    <w:rsid w:val="00D02F2C"/>
    <w:rsid w:val="00D02F70"/>
    <w:rsid w:val="00D03096"/>
    <w:rsid w:val="00D03CB6"/>
    <w:rsid w:val="00D0414D"/>
    <w:rsid w:val="00D04DBF"/>
    <w:rsid w:val="00D05FA3"/>
    <w:rsid w:val="00D062D2"/>
    <w:rsid w:val="00D0639F"/>
    <w:rsid w:val="00D06553"/>
    <w:rsid w:val="00D10473"/>
    <w:rsid w:val="00D10F63"/>
    <w:rsid w:val="00D12887"/>
    <w:rsid w:val="00D12E3D"/>
    <w:rsid w:val="00D12EE1"/>
    <w:rsid w:val="00D13980"/>
    <w:rsid w:val="00D13AD3"/>
    <w:rsid w:val="00D15503"/>
    <w:rsid w:val="00D1580E"/>
    <w:rsid w:val="00D15AB9"/>
    <w:rsid w:val="00D16033"/>
    <w:rsid w:val="00D16334"/>
    <w:rsid w:val="00D16E12"/>
    <w:rsid w:val="00D17CFD"/>
    <w:rsid w:val="00D17DFB"/>
    <w:rsid w:val="00D2017E"/>
    <w:rsid w:val="00D204E6"/>
    <w:rsid w:val="00D20B9E"/>
    <w:rsid w:val="00D21457"/>
    <w:rsid w:val="00D2166D"/>
    <w:rsid w:val="00D217FD"/>
    <w:rsid w:val="00D21E3C"/>
    <w:rsid w:val="00D24626"/>
    <w:rsid w:val="00D248ED"/>
    <w:rsid w:val="00D25032"/>
    <w:rsid w:val="00D25814"/>
    <w:rsid w:val="00D27460"/>
    <w:rsid w:val="00D27706"/>
    <w:rsid w:val="00D27BDD"/>
    <w:rsid w:val="00D306AF"/>
    <w:rsid w:val="00D30859"/>
    <w:rsid w:val="00D30EB4"/>
    <w:rsid w:val="00D3170E"/>
    <w:rsid w:val="00D31D6A"/>
    <w:rsid w:val="00D31D83"/>
    <w:rsid w:val="00D32984"/>
    <w:rsid w:val="00D331FA"/>
    <w:rsid w:val="00D33E74"/>
    <w:rsid w:val="00D33EE5"/>
    <w:rsid w:val="00D3565B"/>
    <w:rsid w:val="00D36244"/>
    <w:rsid w:val="00D3656C"/>
    <w:rsid w:val="00D36B52"/>
    <w:rsid w:val="00D371D6"/>
    <w:rsid w:val="00D402DD"/>
    <w:rsid w:val="00D404D4"/>
    <w:rsid w:val="00D4143A"/>
    <w:rsid w:val="00D41457"/>
    <w:rsid w:val="00D42490"/>
    <w:rsid w:val="00D43FA5"/>
    <w:rsid w:val="00D443A0"/>
    <w:rsid w:val="00D44B61"/>
    <w:rsid w:val="00D458C4"/>
    <w:rsid w:val="00D45D4B"/>
    <w:rsid w:val="00D4687C"/>
    <w:rsid w:val="00D469C4"/>
    <w:rsid w:val="00D46AD2"/>
    <w:rsid w:val="00D46C69"/>
    <w:rsid w:val="00D46E59"/>
    <w:rsid w:val="00D50140"/>
    <w:rsid w:val="00D504D3"/>
    <w:rsid w:val="00D50FE7"/>
    <w:rsid w:val="00D5123F"/>
    <w:rsid w:val="00D51352"/>
    <w:rsid w:val="00D51584"/>
    <w:rsid w:val="00D51DF4"/>
    <w:rsid w:val="00D5329C"/>
    <w:rsid w:val="00D53D72"/>
    <w:rsid w:val="00D55340"/>
    <w:rsid w:val="00D55761"/>
    <w:rsid w:val="00D56180"/>
    <w:rsid w:val="00D5658A"/>
    <w:rsid w:val="00D5716C"/>
    <w:rsid w:val="00D57566"/>
    <w:rsid w:val="00D57863"/>
    <w:rsid w:val="00D57ACE"/>
    <w:rsid w:val="00D57C99"/>
    <w:rsid w:val="00D60115"/>
    <w:rsid w:val="00D60AD7"/>
    <w:rsid w:val="00D6199D"/>
    <w:rsid w:val="00D61D15"/>
    <w:rsid w:val="00D621A4"/>
    <w:rsid w:val="00D62241"/>
    <w:rsid w:val="00D62D5B"/>
    <w:rsid w:val="00D639F5"/>
    <w:rsid w:val="00D642D3"/>
    <w:rsid w:val="00D6477F"/>
    <w:rsid w:val="00D664A6"/>
    <w:rsid w:val="00D7024B"/>
    <w:rsid w:val="00D71A48"/>
    <w:rsid w:val="00D71B44"/>
    <w:rsid w:val="00D72393"/>
    <w:rsid w:val="00D72765"/>
    <w:rsid w:val="00D73E9A"/>
    <w:rsid w:val="00D7427C"/>
    <w:rsid w:val="00D74310"/>
    <w:rsid w:val="00D74DEC"/>
    <w:rsid w:val="00D74E1A"/>
    <w:rsid w:val="00D74E73"/>
    <w:rsid w:val="00D75959"/>
    <w:rsid w:val="00D75B51"/>
    <w:rsid w:val="00D7619C"/>
    <w:rsid w:val="00D765CC"/>
    <w:rsid w:val="00D77064"/>
    <w:rsid w:val="00D77E8D"/>
    <w:rsid w:val="00D80718"/>
    <w:rsid w:val="00D80C75"/>
    <w:rsid w:val="00D81B77"/>
    <w:rsid w:val="00D8273A"/>
    <w:rsid w:val="00D82E90"/>
    <w:rsid w:val="00D836A3"/>
    <w:rsid w:val="00D84607"/>
    <w:rsid w:val="00D854A7"/>
    <w:rsid w:val="00D85F34"/>
    <w:rsid w:val="00D865B1"/>
    <w:rsid w:val="00D8675E"/>
    <w:rsid w:val="00D86988"/>
    <w:rsid w:val="00D870DD"/>
    <w:rsid w:val="00D87842"/>
    <w:rsid w:val="00D87BB6"/>
    <w:rsid w:val="00D87D29"/>
    <w:rsid w:val="00D9023B"/>
    <w:rsid w:val="00D90FD0"/>
    <w:rsid w:val="00D914E9"/>
    <w:rsid w:val="00D915F8"/>
    <w:rsid w:val="00D92148"/>
    <w:rsid w:val="00D935A5"/>
    <w:rsid w:val="00D93A0E"/>
    <w:rsid w:val="00D9475A"/>
    <w:rsid w:val="00D94CA6"/>
    <w:rsid w:val="00D951CC"/>
    <w:rsid w:val="00D96463"/>
    <w:rsid w:val="00D96899"/>
    <w:rsid w:val="00D96F20"/>
    <w:rsid w:val="00D9707C"/>
    <w:rsid w:val="00DA02CA"/>
    <w:rsid w:val="00DA03DB"/>
    <w:rsid w:val="00DA04DA"/>
    <w:rsid w:val="00DA1055"/>
    <w:rsid w:val="00DA197E"/>
    <w:rsid w:val="00DA223E"/>
    <w:rsid w:val="00DA22D9"/>
    <w:rsid w:val="00DA2CB9"/>
    <w:rsid w:val="00DA3035"/>
    <w:rsid w:val="00DA3196"/>
    <w:rsid w:val="00DA34F8"/>
    <w:rsid w:val="00DA3EDE"/>
    <w:rsid w:val="00DA4D01"/>
    <w:rsid w:val="00DA4F30"/>
    <w:rsid w:val="00DA62C8"/>
    <w:rsid w:val="00DB1250"/>
    <w:rsid w:val="00DB1BFD"/>
    <w:rsid w:val="00DB297A"/>
    <w:rsid w:val="00DB2D4E"/>
    <w:rsid w:val="00DB5F14"/>
    <w:rsid w:val="00DB6368"/>
    <w:rsid w:val="00DB65B6"/>
    <w:rsid w:val="00DB69BF"/>
    <w:rsid w:val="00DB6AAE"/>
    <w:rsid w:val="00DB7195"/>
    <w:rsid w:val="00DB78C8"/>
    <w:rsid w:val="00DB798E"/>
    <w:rsid w:val="00DC036E"/>
    <w:rsid w:val="00DC04AD"/>
    <w:rsid w:val="00DC2694"/>
    <w:rsid w:val="00DC31C6"/>
    <w:rsid w:val="00DC3468"/>
    <w:rsid w:val="00DC3B45"/>
    <w:rsid w:val="00DC3CC6"/>
    <w:rsid w:val="00DC4683"/>
    <w:rsid w:val="00DC5042"/>
    <w:rsid w:val="00DC518D"/>
    <w:rsid w:val="00DC5FBB"/>
    <w:rsid w:val="00DC637A"/>
    <w:rsid w:val="00DC6B8E"/>
    <w:rsid w:val="00DC7C51"/>
    <w:rsid w:val="00DD0B99"/>
    <w:rsid w:val="00DD13D9"/>
    <w:rsid w:val="00DD1448"/>
    <w:rsid w:val="00DD18A8"/>
    <w:rsid w:val="00DD2B12"/>
    <w:rsid w:val="00DD4434"/>
    <w:rsid w:val="00DD4971"/>
    <w:rsid w:val="00DD56B0"/>
    <w:rsid w:val="00DD67ED"/>
    <w:rsid w:val="00DD6B99"/>
    <w:rsid w:val="00DD78B2"/>
    <w:rsid w:val="00DD79ED"/>
    <w:rsid w:val="00DD7BD9"/>
    <w:rsid w:val="00DD7E21"/>
    <w:rsid w:val="00DD7FBA"/>
    <w:rsid w:val="00DE01C1"/>
    <w:rsid w:val="00DE0EAE"/>
    <w:rsid w:val="00DE1BD7"/>
    <w:rsid w:val="00DE2220"/>
    <w:rsid w:val="00DE3A87"/>
    <w:rsid w:val="00DE4599"/>
    <w:rsid w:val="00DE4C75"/>
    <w:rsid w:val="00DE4DDD"/>
    <w:rsid w:val="00DE5778"/>
    <w:rsid w:val="00DE593B"/>
    <w:rsid w:val="00DE5CDB"/>
    <w:rsid w:val="00DE6028"/>
    <w:rsid w:val="00DE63DB"/>
    <w:rsid w:val="00DE66A7"/>
    <w:rsid w:val="00DE6D04"/>
    <w:rsid w:val="00DE6D1E"/>
    <w:rsid w:val="00DF163E"/>
    <w:rsid w:val="00DF23F7"/>
    <w:rsid w:val="00DF283A"/>
    <w:rsid w:val="00DF3662"/>
    <w:rsid w:val="00DF39FB"/>
    <w:rsid w:val="00DF3CA1"/>
    <w:rsid w:val="00DF3EE5"/>
    <w:rsid w:val="00DF4C9C"/>
    <w:rsid w:val="00DF4D5D"/>
    <w:rsid w:val="00DF6678"/>
    <w:rsid w:val="00DF7BBD"/>
    <w:rsid w:val="00DF7F36"/>
    <w:rsid w:val="00E00006"/>
    <w:rsid w:val="00E0038F"/>
    <w:rsid w:val="00E003B3"/>
    <w:rsid w:val="00E0095A"/>
    <w:rsid w:val="00E00BA7"/>
    <w:rsid w:val="00E02FBC"/>
    <w:rsid w:val="00E03D27"/>
    <w:rsid w:val="00E03E9B"/>
    <w:rsid w:val="00E044FB"/>
    <w:rsid w:val="00E045E7"/>
    <w:rsid w:val="00E04AC6"/>
    <w:rsid w:val="00E05343"/>
    <w:rsid w:val="00E05366"/>
    <w:rsid w:val="00E0561E"/>
    <w:rsid w:val="00E05ED7"/>
    <w:rsid w:val="00E0622D"/>
    <w:rsid w:val="00E0649B"/>
    <w:rsid w:val="00E06757"/>
    <w:rsid w:val="00E076D0"/>
    <w:rsid w:val="00E07ACD"/>
    <w:rsid w:val="00E07CF1"/>
    <w:rsid w:val="00E100D2"/>
    <w:rsid w:val="00E10F76"/>
    <w:rsid w:val="00E114D7"/>
    <w:rsid w:val="00E11CA5"/>
    <w:rsid w:val="00E13051"/>
    <w:rsid w:val="00E13212"/>
    <w:rsid w:val="00E139DE"/>
    <w:rsid w:val="00E15067"/>
    <w:rsid w:val="00E15330"/>
    <w:rsid w:val="00E1546C"/>
    <w:rsid w:val="00E15A45"/>
    <w:rsid w:val="00E16B0A"/>
    <w:rsid w:val="00E17429"/>
    <w:rsid w:val="00E17E54"/>
    <w:rsid w:val="00E20114"/>
    <w:rsid w:val="00E20120"/>
    <w:rsid w:val="00E20983"/>
    <w:rsid w:val="00E20990"/>
    <w:rsid w:val="00E224C3"/>
    <w:rsid w:val="00E22AB3"/>
    <w:rsid w:val="00E22E66"/>
    <w:rsid w:val="00E235AA"/>
    <w:rsid w:val="00E2387A"/>
    <w:rsid w:val="00E23C3A"/>
    <w:rsid w:val="00E24978"/>
    <w:rsid w:val="00E24B3A"/>
    <w:rsid w:val="00E25C4D"/>
    <w:rsid w:val="00E25FB2"/>
    <w:rsid w:val="00E268A4"/>
    <w:rsid w:val="00E26FEE"/>
    <w:rsid w:val="00E2716D"/>
    <w:rsid w:val="00E30D3B"/>
    <w:rsid w:val="00E31FE2"/>
    <w:rsid w:val="00E32C3C"/>
    <w:rsid w:val="00E32FA5"/>
    <w:rsid w:val="00E33359"/>
    <w:rsid w:val="00E33ADF"/>
    <w:rsid w:val="00E34208"/>
    <w:rsid w:val="00E3424D"/>
    <w:rsid w:val="00E349C2"/>
    <w:rsid w:val="00E35763"/>
    <w:rsid w:val="00E35E2D"/>
    <w:rsid w:val="00E36BE7"/>
    <w:rsid w:val="00E375EA"/>
    <w:rsid w:val="00E3773C"/>
    <w:rsid w:val="00E37906"/>
    <w:rsid w:val="00E37C0B"/>
    <w:rsid w:val="00E403F6"/>
    <w:rsid w:val="00E410A2"/>
    <w:rsid w:val="00E42590"/>
    <w:rsid w:val="00E442C6"/>
    <w:rsid w:val="00E4510E"/>
    <w:rsid w:val="00E456B6"/>
    <w:rsid w:val="00E4636F"/>
    <w:rsid w:val="00E463FC"/>
    <w:rsid w:val="00E46A8C"/>
    <w:rsid w:val="00E47F50"/>
    <w:rsid w:val="00E5000E"/>
    <w:rsid w:val="00E5038F"/>
    <w:rsid w:val="00E51157"/>
    <w:rsid w:val="00E511C8"/>
    <w:rsid w:val="00E51271"/>
    <w:rsid w:val="00E5147F"/>
    <w:rsid w:val="00E516AD"/>
    <w:rsid w:val="00E51F48"/>
    <w:rsid w:val="00E52E5C"/>
    <w:rsid w:val="00E5374D"/>
    <w:rsid w:val="00E538C8"/>
    <w:rsid w:val="00E53A48"/>
    <w:rsid w:val="00E53E39"/>
    <w:rsid w:val="00E54E71"/>
    <w:rsid w:val="00E55319"/>
    <w:rsid w:val="00E553E0"/>
    <w:rsid w:val="00E556EA"/>
    <w:rsid w:val="00E557EC"/>
    <w:rsid w:val="00E566E9"/>
    <w:rsid w:val="00E5687D"/>
    <w:rsid w:val="00E56983"/>
    <w:rsid w:val="00E571C8"/>
    <w:rsid w:val="00E57252"/>
    <w:rsid w:val="00E57434"/>
    <w:rsid w:val="00E577A3"/>
    <w:rsid w:val="00E6004D"/>
    <w:rsid w:val="00E60A0F"/>
    <w:rsid w:val="00E61B9A"/>
    <w:rsid w:val="00E6261C"/>
    <w:rsid w:val="00E62664"/>
    <w:rsid w:val="00E63AA1"/>
    <w:rsid w:val="00E63C39"/>
    <w:rsid w:val="00E64958"/>
    <w:rsid w:val="00E6499C"/>
    <w:rsid w:val="00E650A8"/>
    <w:rsid w:val="00E6549C"/>
    <w:rsid w:val="00E6614C"/>
    <w:rsid w:val="00E66383"/>
    <w:rsid w:val="00E66ED7"/>
    <w:rsid w:val="00E67A13"/>
    <w:rsid w:val="00E67D42"/>
    <w:rsid w:val="00E704EB"/>
    <w:rsid w:val="00E71050"/>
    <w:rsid w:val="00E71451"/>
    <w:rsid w:val="00E72748"/>
    <w:rsid w:val="00E7358A"/>
    <w:rsid w:val="00E73CEB"/>
    <w:rsid w:val="00E74633"/>
    <w:rsid w:val="00E74847"/>
    <w:rsid w:val="00E74870"/>
    <w:rsid w:val="00E7499D"/>
    <w:rsid w:val="00E75121"/>
    <w:rsid w:val="00E752ED"/>
    <w:rsid w:val="00E75396"/>
    <w:rsid w:val="00E75C36"/>
    <w:rsid w:val="00E7605B"/>
    <w:rsid w:val="00E7659A"/>
    <w:rsid w:val="00E7698D"/>
    <w:rsid w:val="00E76DBF"/>
    <w:rsid w:val="00E76EB6"/>
    <w:rsid w:val="00E7772B"/>
    <w:rsid w:val="00E77BBA"/>
    <w:rsid w:val="00E77EC0"/>
    <w:rsid w:val="00E8115C"/>
    <w:rsid w:val="00E824E4"/>
    <w:rsid w:val="00E83315"/>
    <w:rsid w:val="00E83C3C"/>
    <w:rsid w:val="00E84403"/>
    <w:rsid w:val="00E846E6"/>
    <w:rsid w:val="00E84E21"/>
    <w:rsid w:val="00E85161"/>
    <w:rsid w:val="00E851E7"/>
    <w:rsid w:val="00E8564F"/>
    <w:rsid w:val="00E86B3C"/>
    <w:rsid w:val="00E872C3"/>
    <w:rsid w:val="00E874B0"/>
    <w:rsid w:val="00E87AF4"/>
    <w:rsid w:val="00E87FCC"/>
    <w:rsid w:val="00E90266"/>
    <w:rsid w:val="00E90AB0"/>
    <w:rsid w:val="00E90BFA"/>
    <w:rsid w:val="00E91537"/>
    <w:rsid w:val="00E9255F"/>
    <w:rsid w:val="00E928E4"/>
    <w:rsid w:val="00E93B45"/>
    <w:rsid w:val="00E952D2"/>
    <w:rsid w:val="00E95428"/>
    <w:rsid w:val="00E96140"/>
    <w:rsid w:val="00E96498"/>
    <w:rsid w:val="00E9739D"/>
    <w:rsid w:val="00E974C2"/>
    <w:rsid w:val="00E97B4C"/>
    <w:rsid w:val="00EA01C4"/>
    <w:rsid w:val="00EA13C0"/>
    <w:rsid w:val="00EA1968"/>
    <w:rsid w:val="00EA1AE2"/>
    <w:rsid w:val="00EA23D8"/>
    <w:rsid w:val="00EA2731"/>
    <w:rsid w:val="00EA2BC2"/>
    <w:rsid w:val="00EA348C"/>
    <w:rsid w:val="00EA41DF"/>
    <w:rsid w:val="00EA4583"/>
    <w:rsid w:val="00EA4B7D"/>
    <w:rsid w:val="00EA75AE"/>
    <w:rsid w:val="00EA7EA8"/>
    <w:rsid w:val="00EB068C"/>
    <w:rsid w:val="00EB201C"/>
    <w:rsid w:val="00EB2206"/>
    <w:rsid w:val="00EB23FD"/>
    <w:rsid w:val="00EB28A8"/>
    <w:rsid w:val="00EB3207"/>
    <w:rsid w:val="00EB3327"/>
    <w:rsid w:val="00EB36D4"/>
    <w:rsid w:val="00EB3760"/>
    <w:rsid w:val="00EB3945"/>
    <w:rsid w:val="00EB3A0A"/>
    <w:rsid w:val="00EB435D"/>
    <w:rsid w:val="00EB5684"/>
    <w:rsid w:val="00EB6DA1"/>
    <w:rsid w:val="00EB7798"/>
    <w:rsid w:val="00EC01DA"/>
    <w:rsid w:val="00EC0EC4"/>
    <w:rsid w:val="00EC15C9"/>
    <w:rsid w:val="00EC1838"/>
    <w:rsid w:val="00EC281C"/>
    <w:rsid w:val="00EC2CC0"/>
    <w:rsid w:val="00EC40D9"/>
    <w:rsid w:val="00EC458E"/>
    <w:rsid w:val="00EC5047"/>
    <w:rsid w:val="00EC5776"/>
    <w:rsid w:val="00EC5F24"/>
    <w:rsid w:val="00EC6791"/>
    <w:rsid w:val="00EC6D20"/>
    <w:rsid w:val="00EC6EB2"/>
    <w:rsid w:val="00EC7240"/>
    <w:rsid w:val="00EC7551"/>
    <w:rsid w:val="00ED047D"/>
    <w:rsid w:val="00ED06B0"/>
    <w:rsid w:val="00ED0D96"/>
    <w:rsid w:val="00ED0DEF"/>
    <w:rsid w:val="00ED0EC8"/>
    <w:rsid w:val="00ED17D1"/>
    <w:rsid w:val="00ED346C"/>
    <w:rsid w:val="00ED4382"/>
    <w:rsid w:val="00ED448F"/>
    <w:rsid w:val="00ED4C90"/>
    <w:rsid w:val="00ED52C2"/>
    <w:rsid w:val="00ED545E"/>
    <w:rsid w:val="00ED5596"/>
    <w:rsid w:val="00ED583D"/>
    <w:rsid w:val="00ED5F78"/>
    <w:rsid w:val="00ED6808"/>
    <w:rsid w:val="00ED6B4E"/>
    <w:rsid w:val="00ED716B"/>
    <w:rsid w:val="00ED7574"/>
    <w:rsid w:val="00ED7602"/>
    <w:rsid w:val="00ED7642"/>
    <w:rsid w:val="00EE018E"/>
    <w:rsid w:val="00EE04D5"/>
    <w:rsid w:val="00EE0F6F"/>
    <w:rsid w:val="00EE2462"/>
    <w:rsid w:val="00EE24CE"/>
    <w:rsid w:val="00EE26CE"/>
    <w:rsid w:val="00EE2EE6"/>
    <w:rsid w:val="00EE40EE"/>
    <w:rsid w:val="00EE53F8"/>
    <w:rsid w:val="00EE5955"/>
    <w:rsid w:val="00EE5D7B"/>
    <w:rsid w:val="00EE6EE4"/>
    <w:rsid w:val="00EE7502"/>
    <w:rsid w:val="00EE7937"/>
    <w:rsid w:val="00EE7F57"/>
    <w:rsid w:val="00EF050F"/>
    <w:rsid w:val="00EF18C4"/>
    <w:rsid w:val="00EF1A0B"/>
    <w:rsid w:val="00EF1DFC"/>
    <w:rsid w:val="00EF231B"/>
    <w:rsid w:val="00EF297E"/>
    <w:rsid w:val="00EF2D80"/>
    <w:rsid w:val="00EF337B"/>
    <w:rsid w:val="00EF34EF"/>
    <w:rsid w:val="00EF3527"/>
    <w:rsid w:val="00EF4382"/>
    <w:rsid w:val="00EF4561"/>
    <w:rsid w:val="00EF46EB"/>
    <w:rsid w:val="00EF4A8B"/>
    <w:rsid w:val="00EF5B41"/>
    <w:rsid w:val="00EF6093"/>
    <w:rsid w:val="00EF6424"/>
    <w:rsid w:val="00EF6435"/>
    <w:rsid w:val="00EF6647"/>
    <w:rsid w:val="00EF6AE1"/>
    <w:rsid w:val="00EF6BF9"/>
    <w:rsid w:val="00EF6CF7"/>
    <w:rsid w:val="00F002DD"/>
    <w:rsid w:val="00F007BE"/>
    <w:rsid w:val="00F014D8"/>
    <w:rsid w:val="00F01784"/>
    <w:rsid w:val="00F0262D"/>
    <w:rsid w:val="00F02892"/>
    <w:rsid w:val="00F02DC8"/>
    <w:rsid w:val="00F0405D"/>
    <w:rsid w:val="00F041EF"/>
    <w:rsid w:val="00F05522"/>
    <w:rsid w:val="00F05C27"/>
    <w:rsid w:val="00F06641"/>
    <w:rsid w:val="00F06D88"/>
    <w:rsid w:val="00F07E04"/>
    <w:rsid w:val="00F101D7"/>
    <w:rsid w:val="00F102CD"/>
    <w:rsid w:val="00F10FEB"/>
    <w:rsid w:val="00F1269D"/>
    <w:rsid w:val="00F13554"/>
    <w:rsid w:val="00F1403E"/>
    <w:rsid w:val="00F14772"/>
    <w:rsid w:val="00F1496C"/>
    <w:rsid w:val="00F14BC4"/>
    <w:rsid w:val="00F151EB"/>
    <w:rsid w:val="00F16D99"/>
    <w:rsid w:val="00F20292"/>
    <w:rsid w:val="00F207D0"/>
    <w:rsid w:val="00F20888"/>
    <w:rsid w:val="00F20BD3"/>
    <w:rsid w:val="00F2112C"/>
    <w:rsid w:val="00F22DA4"/>
    <w:rsid w:val="00F236AB"/>
    <w:rsid w:val="00F23C0B"/>
    <w:rsid w:val="00F243EE"/>
    <w:rsid w:val="00F25252"/>
    <w:rsid w:val="00F25FA9"/>
    <w:rsid w:val="00F269DA"/>
    <w:rsid w:val="00F304B7"/>
    <w:rsid w:val="00F3069E"/>
    <w:rsid w:val="00F30768"/>
    <w:rsid w:val="00F31FA6"/>
    <w:rsid w:val="00F320CF"/>
    <w:rsid w:val="00F3243C"/>
    <w:rsid w:val="00F332EB"/>
    <w:rsid w:val="00F34000"/>
    <w:rsid w:val="00F34537"/>
    <w:rsid w:val="00F34901"/>
    <w:rsid w:val="00F34AD2"/>
    <w:rsid w:val="00F35225"/>
    <w:rsid w:val="00F3597E"/>
    <w:rsid w:val="00F359AD"/>
    <w:rsid w:val="00F365AC"/>
    <w:rsid w:val="00F365F4"/>
    <w:rsid w:val="00F37218"/>
    <w:rsid w:val="00F375E0"/>
    <w:rsid w:val="00F37A23"/>
    <w:rsid w:val="00F37D24"/>
    <w:rsid w:val="00F40A47"/>
    <w:rsid w:val="00F40F3A"/>
    <w:rsid w:val="00F410BB"/>
    <w:rsid w:val="00F41133"/>
    <w:rsid w:val="00F41685"/>
    <w:rsid w:val="00F41A8E"/>
    <w:rsid w:val="00F41D0A"/>
    <w:rsid w:val="00F42B60"/>
    <w:rsid w:val="00F43C4B"/>
    <w:rsid w:val="00F44640"/>
    <w:rsid w:val="00F47D6C"/>
    <w:rsid w:val="00F47E8E"/>
    <w:rsid w:val="00F5058B"/>
    <w:rsid w:val="00F50D80"/>
    <w:rsid w:val="00F5105A"/>
    <w:rsid w:val="00F51831"/>
    <w:rsid w:val="00F522A7"/>
    <w:rsid w:val="00F55BE6"/>
    <w:rsid w:val="00F56623"/>
    <w:rsid w:val="00F569E4"/>
    <w:rsid w:val="00F56B64"/>
    <w:rsid w:val="00F57C79"/>
    <w:rsid w:val="00F57D7C"/>
    <w:rsid w:val="00F57EDC"/>
    <w:rsid w:val="00F60053"/>
    <w:rsid w:val="00F608C1"/>
    <w:rsid w:val="00F61493"/>
    <w:rsid w:val="00F61536"/>
    <w:rsid w:val="00F62288"/>
    <w:rsid w:val="00F62D7D"/>
    <w:rsid w:val="00F63275"/>
    <w:rsid w:val="00F63464"/>
    <w:rsid w:val="00F639EA"/>
    <w:rsid w:val="00F643B5"/>
    <w:rsid w:val="00F64C7A"/>
    <w:rsid w:val="00F650C2"/>
    <w:rsid w:val="00F65639"/>
    <w:rsid w:val="00F65E04"/>
    <w:rsid w:val="00F660F1"/>
    <w:rsid w:val="00F672D9"/>
    <w:rsid w:val="00F67F44"/>
    <w:rsid w:val="00F700DA"/>
    <w:rsid w:val="00F701E2"/>
    <w:rsid w:val="00F70C78"/>
    <w:rsid w:val="00F70DCD"/>
    <w:rsid w:val="00F70F14"/>
    <w:rsid w:val="00F7190E"/>
    <w:rsid w:val="00F72495"/>
    <w:rsid w:val="00F739A5"/>
    <w:rsid w:val="00F747C3"/>
    <w:rsid w:val="00F74DF3"/>
    <w:rsid w:val="00F7502C"/>
    <w:rsid w:val="00F750AA"/>
    <w:rsid w:val="00F757BB"/>
    <w:rsid w:val="00F75E4B"/>
    <w:rsid w:val="00F76693"/>
    <w:rsid w:val="00F769C5"/>
    <w:rsid w:val="00F76B63"/>
    <w:rsid w:val="00F77E5C"/>
    <w:rsid w:val="00F8021E"/>
    <w:rsid w:val="00F80345"/>
    <w:rsid w:val="00F80BEF"/>
    <w:rsid w:val="00F826E3"/>
    <w:rsid w:val="00F82E82"/>
    <w:rsid w:val="00F8313F"/>
    <w:rsid w:val="00F836F5"/>
    <w:rsid w:val="00F846D3"/>
    <w:rsid w:val="00F8477A"/>
    <w:rsid w:val="00F85B0F"/>
    <w:rsid w:val="00F86820"/>
    <w:rsid w:val="00F8748F"/>
    <w:rsid w:val="00F90612"/>
    <w:rsid w:val="00F90962"/>
    <w:rsid w:val="00F90A5C"/>
    <w:rsid w:val="00F91030"/>
    <w:rsid w:val="00F9114E"/>
    <w:rsid w:val="00F912C8"/>
    <w:rsid w:val="00F91541"/>
    <w:rsid w:val="00F91D22"/>
    <w:rsid w:val="00F9201D"/>
    <w:rsid w:val="00F929A0"/>
    <w:rsid w:val="00F93280"/>
    <w:rsid w:val="00F949CE"/>
    <w:rsid w:val="00F95E6F"/>
    <w:rsid w:val="00F9633F"/>
    <w:rsid w:val="00F97865"/>
    <w:rsid w:val="00F979B5"/>
    <w:rsid w:val="00FA0070"/>
    <w:rsid w:val="00FA0245"/>
    <w:rsid w:val="00FA0C91"/>
    <w:rsid w:val="00FA13D1"/>
    <w:rsid w:val="00FA21B2"/>
    <w:rsid w:val="00FA3395"/>
    <w:rsid w:val="00FA4575"/>
    <w:rsid w:val="00FA53A6"/>
    <w:rsid w:val="00FA5A82"/>
    <w:rsid w:val="00FA5DDC"/>
    <w:rsid w:val="00FB011D"/>
    <w:rsid w:val="00FB03CE"/>
    <w:rsid w:val="00FB0479"/>
    <w:rsid w:val="00FB0869"/>
    <w:rsid w:val="00FB13B8"/>
    <w:rsid w:val="00FB236F"/>
    <w:rsid w:val="00FB27DB"/>
    <w:rsid w:val="00FB28D1"/>
    <w:rsid w:val="00FB2BA6"/>
    <w:rsid w:val="00FB31F9"/>
    <w:rsid w:val="00FB3404"/>
    <w:rsid w:val="00FB45FB"/>
    <w:rsid w:val="00FB4860"/>
    <w:rsid w:val="00FB4BFD"/>
    <w:rsid w:val="00FB5978"/>
    <w:rsid w:val="00FB7254"/>
    <w:rsid w:val="00FC0FEC"/>
    <w:rsid w:val="00FC189E"/>
    <w:rsid w:val="00FC2C90"/>
    <w:rsid w:val="00FC37AB"/>
    <w:rsid w:val="00FC3D3D"/>
    <w:rsid w:val="00FC4B5F"/>
    <w:rsid w:val="00FC4BBE"/>
    <w:rsid w:val="00FC7BB6"/>
    <w:rsid w:val="00FD1180"/>
    <w:rsid w:val="00FD1CE0"/>
    <w:rsid w:val="00FD4D5A"/>
    <w:rsid w:val="00FD5E44"/>
    <w:rsid w:val="00FD6117"/>
    <w:rsid w:val="00FD6B2D"/>
    <w:rsid w:val="00FD6BCA"/>
    <w:rsid w:val="00FD6CD1"/>
    <w:rsid w:val="00FD737A"/>
    <w:rsid w:val="00FD7A72"/>
    <w:rsid w:val="00FE1BB5"/>
    <w:rsid w:val="00FE30A8"/>
    <w:rsid w:val="00FE337F"/>
    <w:rsid w:val="00FE410D"/>
    <w:rsid w:val="00FE497C"/>
    <w:rsid w:val="00FE4C10"/>
    <w:rsid w:val="00FE50B6"/>
    <w:rsid w:val="00FE5246"/>
    <w:rsid w:val="00FE643E"/>
    <w:rsid w:val="00FE7876"/>
    <w:rsid w:val="00FE79C7"/>
    <w:rsid w:val="00FE7E67"/>
    <w:rsid w:val="00FF0782"/>
    <w:rsid w:val="00FF08F2"/>
    <w:rsid w:val="00FF0E32"/>
    <w:rsid w:val="00FF11CE"/>
    <w:rsid w:val="00FF26E9"/>
    <w:rsid w:val="00FF2BCF"/>
    <w:rsid w:val="00FF314A"/>
    <w:rsid w:val="00FF4136"/>
    <w:rsid w:val="00FF50FD"/>
    <w:rsid w:val="00FF5CC1"/>
    <w:rsid w:val="00FF5DB5"/>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10FF"/>
  <w15:chartTrackingRefBased/>
  <w15:docId w15:val="{18BBBFED-E905-400C-AC77-BF1E5627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5A6"/>
    <w:rPr>
      <w:rFonts w:ascii="Arial" w:hAnsi="Arial"/>
      <w:sz w:val="24"/>
    </w:rPr>
  </w:style>
  <w:style w:type="paragraph" w:styleId="Heading1">
    <w:name w:val="heading 1"/>
    <w:basedOn w:val="Normal"/>
    <w:next w:val="Normal"/>
    <w:link w:val="Heading1Char"/>
    <w:uiPriority w:val="9"/>
    <w:qFormat/>
    <w:rsid w:val="004D5E82"/>
    <w:pPr>
      <w:keepNext/>
      <w:keepLines/>
      <w:spacing w:before="240" w:after="0"/>
      <w:outlineLvl w:val="0"/>
    </w:pPr>
    <w:rPr>
      <w:rFonts w:eastAsiaTheme="majorEastAsia" w:cstheme="majorBidi"/>
      <w:b/>
      <w:sz w:val="40"/>
      <w:szCs w:val="32"/>
    </w:rPr>
  </w:style>
  <w:style w:type="paragraph" w:styleId="Heading2">
    <w:name w:val="heading 2"/>
    <w:basedOn w:val="Normal"/>
    <w:link w:val="Heading2Char"/>
    <w:uiPriority w:val="9"/>
    <w:qFormat/>
    <w:rsid w:val="004D5E82"/>
    <w:pPr>
      <w:spacing w:before="100" w:beforeAutospacing="1" w:after="100" w:afterAutospacing="1" w:line="240" w:lineRule="auto"/>
      <w:outlineLvl w:val="1"/>
    </w:pPr>
    <w:rPr>
      <w:rFonts w:eastAsia="Times New Roman" w:cs="Times New Roman"/>
      <w:b/>
      <w:bCs/>
      <w:sz w:val="32"/>
      <w:szCs w:val="36"/>
      <w:lang w:eastAsia="en-GB"/>
    </w:rPr>
  </w:style>
  <w:style w:type="paragraph" w:styleId="Heading3">
    <w:name w:val="heading 3"/>
    <w:basedOn w:val="Normal"/>
    <w:next w:val="Normal"/>
    <w:link w:val="Heading3Char"/>
    <w:uiPriority w:val="9"/>
    <w:unhideWhenUsed/>
    <w:qFormat/>
    <w:rsid w:val="005475A6"/>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5475A6"/>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mpt">
    <w:name w:val="Prompt"/>
    <w:basedOn w:val="Normal"/>
    <w:link w:val="PromptChar"/>
    <w:qFormat/>
    <w:rsid w:val="001B466F"/>
    <w:pPr>
      <w:pBdr>
        <w:top w:val="single" w:sz="48" w:space="1" w:color="E8EEF8"/>
        <w:left w:val="single" w:sz="48" w:space="4" w:color="E8EEF8"/>
        <w:bottom w:val="single" w:sz="48" w:space="1" w:color="E8EEF8"/>
        <w:right w:val="single" w:sz="48" w:space="4" w:color="E8EEF8"/>
      </w:pBdr>
      <w:shd w:val="clear" w:color="auto" w:fill="E8EEF8"/>
      <w:spacing w:after="240" w:line="300" w:lineRule="atLeast"/>
      <w:ind w:left="284" w:right="284"/>
    </w:pPr>
    <w:rPr>
      <w:rFonts w:eastAsia="Arial" w:cs="Arial"/>
      <w:color w:val="000000" w:themeColor="text1"/>
    </w:rPr>
  </w:style>
  <w:style w:type="character" w:customStyle="1" w:styleId="PromptChar">
    <w:name w:val="Prompt Char"/>
    <w:basedOn w:val="DefaultParagraphFont"/>
    <w:link w:val="Prompt"/>
    <w:rsid w:val="001B466F"/>
    <w:rPr>
      <w:rFonts w:ascii="Arial" w:eastAsia="Arial" w:hAnsi="Arial" w:cs="Arial"/>
      <w:color w:val="000000" w:themeColor="text1"/>
      <w:shd w:val="clear" w:color="auto" w:fill="E8EEF8"/>
    </w:rPr>
  </w:style>
  <w:style w:type="paragraph" w:styleId="ListParagraph">
    <w:name w:val="List Paragraph"/>
    <w:aliases w:val="Dot pt,No Spacing1,List Paragraph Char Char Char,Indicator Text,Numbered Para 1,List Paragraph1,Bullet 1,Bullet Points,MAIN CONTENT,OBC Bullet,F5 List Paragraph,Colorful List - Accent 11,List Paragraph12,List Paragraph2,Normal numbered,L"/>
    <w:basedOn w:val="Normal"/>
    <w:link w:val="ListParagraphChar"/>
    <w:uiPriority w:val="34"/>
    <w:qFormat/>
    <w:rsid w:val="00D9707C"/>
    <w:pPr>
      <w:spacing w:after="0" w:line="240" w:lineRule="auto"/>
      <w:ind w:left="720"/>
      <w:contextualSpacing/>
    </w:pPr>
    <w:rPr>
      <w:rFonts w:eastAsiaTheme="minorEastAsia"/>
      <w:kern w:val="2"/>
      <w:szCs w:val="24"/>
      <w14:ligatures w14:val="standardContextual"/>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F5 List Paragraph Char,L Char"/>
    <w:basedOn w:val="DefaultParagraphFont"/>
    <w:link w:val="ListParagraph"/>
    <w:uiPriority w:val="34"/>
    <w:qFormat/>
    <w:locked/>
    <w:rsid w:val="00D9707C"/>
    <w:rPr>
      <w:rFonts w:eastAsiaTheme="minorEastAsia"/>
      <w:kern w:val="2"/>
      <w:sz w:val="24"/>
      <w:szCs w:val="24"/>
      <w14:ligatures w14:val="standardContextual"/>
    </w:rPr>
  </w:style>
  <w:style w:type="paragraph" w:styleId="BodyText">
    <w:name w:val="Body Text"/>
    <w:basedOn w:val="Normal"/>
    <w:link w:val="BodyTextChar"/>
    <w:uiPriority w:val="1"/>
    <w:qFormat/>
    <w:rsid w:val="007C7C92"/>
    <w:pPr>
      <w:widowControl w:val="0"/>
      <w:autoSpaceDE w:val="0"/>
      <w:autoSpaceDN w:val="0"/>
      <w:spacing w:after="0"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7C7C92"/>
    <w:rPr>
      <w:rFonts w:ascii="Arial" w:eastAsia="Arial" w:hAnsi="Arial" w:cs="Arial"/>
      <w:sz w:val="20"/>
      <w:szCs w:val="20"/>
      <w:lang w:eastAsia="en-GB" w:bidi="en-GB"/>
    </w:rPr>
  </w:style>
  <w:style w:type="character" w:styleId="Hyperlink">
    <w:name w:val="Hyperlink"/>
    <w:basedOn w:val="DefaultParagraphFont"/>
    <w:uiPriority w:val="99"/>
    <w:unhideWhenUsed/>
    <w:rsid w:val="00D458C4"/>
    <w:rPr>
      <w:color w:val="0000FF"/>
      <w:u w:val="single"/>
    </w:rPr>
  </w:style>
  <w:style w:type="character" w:styleId="CommentReference">
    <w:name w:val="annotation reference"/>
    <w:basedOn w:val="DefaultParagraphFont"/>
    <w:uiPriority w:val="99"/>
    <w:semiHidden/>
    <w:unhideWhenUsed/>
    <w:rsid w:val="00DD6B99"/>
    <w:rPr>
      <w:sz w:val="16"/>
      <w:szCs w:val="16"/>
    </w:rPr>
  </w:style>
  <w:style w:type="paragraph" w:styleId="CommentText">
    <w:name w:val="annotation text"/>
    <w:basedOn w:val="Normal"/>
    <w:link w:val="CommentTextChar"/>
    <w:uiPriority w:val="99"/>
    <w:unhideWhenUsed/>
    <w:rsid w:val="00DD6B99"/>
    <w:pPr>
      <w:spacing w:after="240" w:line="240" w:lineRule="auto"/>
    </w:pPr>
    <w:rPr>
      <w:sz w:val="20"/>
      <w:szCs w:val="20"/>
    </w:rPr>
  </w:style>
  <w:style w:type="character" w:customStyle="1" w:styleId="CommentTextChar">
    <w:name w:val="Comment Text Char"/>
    <w:basedOn w:val="DefaultParagraphFont"/>
    <w:link w:val="CommentText"/>
    <w:uiPriority w:val="99"/>
    <w:rsid w:val="00DD6B99"/>
    <w:rPr>
      <w:rFonts w:ascii="Arial" w:hAnsi="Arial"/>
      <w:sz w:val="20"/>
      <w:szCs w:val="20"/>
    </w:rPr>
  </w:style>
  <w:style w:type="paragraph" w:customStyle="1" w:styleId="paragraph">
    <w:name w:val="paragraph"/>
    <w:basedOn w:val="Normal"/>
    <w:rsid w:val="0058264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8264B"/>
  </w:style>
  <w:style w:type="character" w:customStyle="1" w:styleId="eop">
    <w:name w:val="eop"/>
    <w:basedOn w:val="DefaultParagraphFont"/>
    <w:rsid w:val="0058264B"/>
  </w:style>
  <w:style w:type="paragraph" w:styleId="NormalWeb">
    <w:name w:val="Normal (Web)"/>
    <w:basedOn w:val="Normal"/>
    <w:uiPriority w:val="99"/>
    <w:unhideWhenUsed/>
    <w:rsid w:val="00A800E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A800ED"/>
    <w:rPr>
      <w:b/>
      <w:bCs/>
    </w:rPr>
  </w:style>
  <w:style w:type="character" w:styleId="Emphasis">
    <w:name w:val="Emphasis"/>
    <w:basedOn w:val="DefaultParagraphFont"/>
    <w:uiPriority w:val="20"/>
    <w:qFormat/>
    <w:rsid w:val="00A800ED"/>
    <w:rPr>
      <w:i/>
      <w:iCs/>
    </w:rPr>
  </w:style>
  <w:style w:type="character" w:customStyle="1" w:styleId="Heading2Char">
    <w:name w:val="Heading 2 Char"/>
    <w:basedOn w:val="DefaultParagraphFont"/>
    <w:link w:val="Heading2"/>
    <w:uiPriority w:val="9"/>
    <w:rsid w:val="004D5E82"/>
    <w:rPr>
      <w:rFonts w:ascii="Arial" w:eastAsia="Times New Roman" w:hAnsi="Arial" w:cs="Times New Roman"/>
      <w:b/>
      <w:bCs/>
      <w:sz w:val="32"/>
      <w:szCs w:val="36"/>
      <w:lang w:eastAsia="en-GB"/>
    </w:rPr>
  </w:style>
  <w:style w:type="character" w:customStyle="1" w:styleId="lead">
    <w:name w:val="lead"/>
    <w:basedOn w:val="DefaultParagraphFont"/>
    <w:rsid w:val="00404C31"/>
  </w:style>
  <w:style w:type="character" w:customStyle="1" w:styleId="Heading1Char">
    <w:name w:val="Heading 1 Char"/>
    <w:basedOn w:val="DefaultParagraphFont"/>
    <w:link w:val="Heading1"/>
    <w:uiPriority w:val="9"/>
    <w:rsid w:val="004D5E82"/>
    <w:rPr>
      <w:rFonts w:ascii="Arial" w:eastAsiaTheme="majorEastAsia" w:hAnsi="Arial" w:cstheme="majorBidi"/>
      <w:b/>
      <w:sz w:val="40"/>
      <w:szCs w:val="32"/>
    </w:rPr>
  </w:style>
  <w:style w:type="table" w:styleId="TableGrid">
    <w:name w:val="Table Grid"/>
    <w:basedOn w:val="TableNormal"/>
    <w:uiPriority w:val="39"/>
    <w:rsid w:val="00E7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5CA1"/>
    <w:rPr>
      <w:color w:val="605E5C"/>
      <w:shd w:val="clear" w:color="auto" w:fill="E1DFDD"/>
    </w:rPr>
  </w:style>
  <w:style w:type="character" w:styleId="FollowedHyperlink">
    <w:name w:val="FollowedHyperlink"/>
    <w:basedOn w:val="DefaultParagraphFont"/>
    <w:uiPriority w:val="99"/>
    <w:semiHidden/>
    <w:unhideWhenUsed/>
    <w:rsid w:val="00095CA1"/>
    <w:rPr>
      <w:color w:val="954F72" w:themeColor="followedHyperlink"/>
      <w:u w:val="single"/>
    </w:rPr>
  </w:style>
  <w:style w:type="character" w:customStyle="1" w:styleId="Heading4Char">
    <w:name w:val="Heading 4 Char"/>
    <w:basedOn w:val="DefaultParagraphFont"/>
    <w:link w:val="Heading4"/>
    <w:uiPriority w:val="9"/>
    <w:rsid w:val="005475A6"/>
    <w:rPr>
      <w:rFonts w:ascii="Arial" w:eastAsiaTheme="majorEastAsia" w:hAnsi="Arial" w:cstheme="majorBidi"/>
      <w:b/>
      <w:iCs/>
      <w:sz w:val="26"/>
    </w:rPr>
  </w:style>
  <w:style w:type="character" w:customStyle="1" w:styleId="ui-provider">
    <w:name w:val="ui-provider"/>
    <w:basedOn w:val="DefaultParagraphFont"/>
    <w:rsid w:val="008446C3"/>
  </w:style>
  <w:style w:type="paragraph" w:styleId="FootnoteText">
    <w:name w:val="footnote text"/>
    <w:basedOn w:val="Normal"/>
    <w:link w:val="FootnoteTextChar"/>
    <w:uiPriority w:val="99"/>
    <w:semiHidden/>
    <w:unhideWhenUsed/>
    <w:rsid w:val="00CA30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0C8"/>
    <w:rPr>
      <w:sz w:val="20"/>
      <w:szCs w:val="20"/>
    </w:rPr>
  </w:style>
  <w:style w:type="character" w:styleId="FootnoteReference">
    <w:name w:val="footnote reference"/>
    <w:basedOn w:val="DefaultParagraphFont"/>
    <w:uiPriority w:val="99"/>
    <w:semiHidden/>
    <w:unhideWhenUsed/>
    <w:rsid w:val="00CA30C8"/>
    <w:rPr>
      <w:vertAlign w:val="superscript"/>
    </w:rPr>
  </w:style>
  <w:style w:type="paragraph" w:styleId="Caption">
    <w:name w:val="caption"/>
    <w:basedOn w:val="Normal"/>
    <w:next w:val="Normal"/>
    <w:uiPriority w:val="35"/>
    <w:unhideWhenUsed/>
    <w:qFormat/>
    <w:rsid w:val="00290B0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B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F26"/>
  </w:style>
  <w:style w:type="paragraph" w:styleId="Footer">
    <w:name w:val="footer"/>
    <w:basedOn w:val="Normal"/>
    <w:link w:val="FooterChar"/>
    <w:uiPriority w:val="99"/>
    <w:unhideWhenUsed/>
    <w:rsid w:val="006B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F26"/>
  </w:style>
  <w:style w:type="character" w:customStyle="1" w:styleId="scxw168294808">
    <w:name w:val="scxw168294808"/>
    <w:basedOn w:val="DefaultParagraphFont"/>
    <w:rsid w:val="00965FF5"/>
  </w:style>
  <w:style w:type="character" w:customStyle="1" w:styleId="Heading3Char">
    <w:name w:val="Heading 3 Char"/>
    <w:basedOn w:val="DefaultParagraphFont"/>
    <w:link w:val="Heading3"/>
    <w:uiPriority w:val="9"/>
    <w:rsid w:val="005475A6"/>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252">
      <w:bodyDiv w:val="1"/>
      <w:marLeft w:val="0"/>
      <w:marRight w:val="0"/>
      <w:marTop w:val="0"/>
      <w:marBottom w:val="0"/>
      <w:divBdr>
        <w:top w:val="none" w:sz="0" w:space="0" w:color="auto"/>
        <w:left w:val="none" w:sz="0" w:space="0" w:color="auto"/>
        <w:bottom w:val="none" w:sz="0" w:space="0" w:color="auto"/>
        <w:right w:val="none" w:sz="0" w:space="0" w:color="auto"/>
      </w:divBdr>
    </w:div>
    <w:div w:id="100340715">
      <w:bodyDiv w:val="1"/>
      <w:marLeft w:val="0"/>
      <w:marRight w:val="0"/>
      <w:marTop w:val="0"/>
      <w:marBottom w:val="0"/>
      <w:divBdr>
        <w:top w:val="none" w:sz="0" w:space="0" w:color="auto"/>
        <w:left w:val="none" w:sz="0" w:space="0" w:color="auto"/>
        <w:bottom w:val="none" w:sz="0" w:space="0" w:color="auto"/>
        <w:right w:val="none" w:sz="0" w:space="0" w:color="auto"/>
      </w:divBdr>
    </w:div>
    <w:div w:id="159853999">
      <w:bodyDiv w:val="1"/>
      <w:marLeft w:val="0"/>
      <w:marRight w:val="0"/>
      <w:marTop w:val="0"/>
      <w:marBottom w:val="0"/>
      <w:divBdr>
        <w:top w:val="none" w:sz="0" w:space="0" w:color="auto"/>
        <w:left w:val="none" w:sz="0" w:space="0" w:color="auto"/>
        <w:bottom w:val="none" w:sz="0" w:space="0" w:color="auto"/>
        <w:right w:val="none" w:sz="0" w:space="0" w:color="auto"/>
      </w:divBdr>
    </w:div>
    <w:div w:id="196431376">
      <w:bodyDiv w:val="1"/>
      <w:marLeft w:val="0"/>
      <w:marRight w:val="0"/>
      <w:marTop w:val="0"/>
      <w:marBottom w:val="0"/>
      <w:divBdr>
        <w:top w:val="none" w:sz="0" w:space="0" w:color="auto"/>
        <w:left w:val="none" w:sz="0" w:space="0" w:color="auto"/>
        <w:bottom w:val="none" w:sz="0" w:space="0" w:color="auto"/>
        <w:right w:val="none" w:sz="0" w:space="0" w:color="auto"/>
      </w:divBdr>
      <w:divsChild>
        <w:div w:id="2139756538">
          <w:marLeft w:val="0"/>
          <w:marRight w:val="0"/>
          <w:marTop w:val="0"/>
          <w:marBottom w:val="0"/>
          <w:divBdr>
            <w:top w:val="none" w:sz="0" w:space="0" w:color="auto"/>
            <w:left w:val="none" w:sz="0" w:space="0" w:color="auto"/>
            <w:bottom w:val="none" w:sz="0" w:space="0" w:color="auto"/>
            <w:right w:val="none" w:sz="0" w:space="0" w:color="auto"/>
          </w:divBdr>
        </w:div>
        <w:div w:id="1367829682">
          <w:marLeft w:val="0"/>
          <w:marRight w:val="0"/>
          <w:marTop w:val="0"/>
          <w:marBottom w:val="0"/>
          <w:divBdr>
            <w:top w:val="none" w:sz="0" w:space="0" w:color="auto"/>
            <w:left w:val="none" w:sz="0" w:space="0" w:color="auto"/>
            <w:bottom w:val="none" w:sz="0" w:space="0" w:color="auto"/>
            <w:right w:val="none" w:sz="0" w:space="0" w:color="auto"/>
          </w:divBdr>
        </w:div>
      </w:divsChild>
    </w:div>
    <w:div w:id="219441117">
      <w:bodyDiv w:val="1"/>
      <w:marLeft w:val="0"/>
      <w:marRight w:val="0"/>
      <w:marTop w:val="0"/>
      <w:marBottom w:val="0"/>
      <w:divBdr>
        <w:top w:val="none" w:sz="0" w:space="0" w:color="auto"/>
        <w:left w:val="none" w:sz="0" w:space="0" w:color="auto"/>
        <w:bottom w:val="none" w:sz="0" w:space="0" w:color="auto"/>
        <w:right w:val="none" w:sz="0" w:space="0" w:color="auto"/>
      </w:divBdr>
      <w:divsChild>
        <w:div w:id="713389772">
          <w:marLeft w:val="0"/>
          <w:marRight w:val="0"/>
          <w:marTop w:val="0"/>
          <w:marBottom w:val="0"/>
          <w:divBdr>
            <w:top w:val="none" w:sz="0" w:space="0" w:color="auto"/>
            <w:left w:val="none" w:sz="0" w:space="0" w:color="auto"/>
            <w:bottom w:val="none" w:sz="0" w:space="0" w:color="auto"/>
            <w:right w:val="none" w:sz="0" w:space="0" w:color="auto"/>
          </w:divBdr>
          <w:divsChild>
            <w:div w:id="1878003631">
              <w:marLeft w:val="0"/>
              <w:marRight w:val="0"/>
              <w:marTop w:val="0"/>
              <w:marBottom w:val="0"/>
              <w:divBdr>
                <w:top w:val="none" w:sz="0" w:space="0" w:color="auto"/>
                <w:left w:val="none" w:sz="0" w:space="0" w:color="auto"/>
                <w:bottom w:val="none" w:sz="0" w:space="0" w:color="auto"/>
                <w:right w:val="none" w:sz="0" w:space="0" w:color="auto"/>
              </w:divBdr>
              <w:divsChild>
                <w:div w:id="542134868">
                  <w:marLeft w:val="0"/>
                  <w:marRight w:val="0"/>
                  <w:marTop w:val="0"/>
                  <w:marBottom w:val="0"/>
                  <w:divBdr>
                    <w:top w:val="none" w:sz="0" w:space="0" w:color="auto"/>
                    <w:left w:val="none" w:sz="0" w:space="0" w:color="auto"/>
                    <w:bottom w:val="none" w:sz="0" w:space="0" w:color="auto"/>
                    <w:right w:val="none" w:sz="0" w:space="0" w:color="auto"/>
                  </w:divBdr>
                  <w:divsChild>
                    <w:div w:id="2023318462">
                      <w:marLeft w:val="0"/>
                      <w:marRight w:val="0"/>
                      <w:marTop w:val="0"/>
                      <w:marBottom w:val="0"/>
                      <w:divBdr>
                        <w:top w:val="none" w:sz="0" w:space="0" w:color="auto"/>
                        <w:left w:val="none" w:sz="0" w:space="0" w:color="auto"/>
                        <w:bottom w:val="none" w:sz="0" w:space="0" w:color="auto"/>
                        <w:right w:val="none" w:sz="0" w:space="0" w:color="auto"/>
                      </w:divBdr>
                      <w:divsChild>
                        <w:div w:id="2123570801">
                          <w:marLeft w:val="0"/>
                          <w:marRight w:val="0"/>
                          <w:marTop w:val="0"/>
                          <w:marBottom w:val="0"/>
                          <w:divBdr>
                            <w:top w:val="none" w:sz="0" w:space="0" w:color="auto"/>
                            <w:left w:val="none" w:sz="0" w:space="0" w:color="auto"/>
                            <w:bottom w:val="none" w:sz="0" w:space="0" w:color="auto"/>
                            <w:right w:val="none" w:sz="0" w:space="0" w:color="auto"/>
                          </w:divBdr>
                          <w:divsChild>
                            <w:div w:id="11308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971450">
      <w:bodyDiv w:val="1"/>
      <w:marLeft w:val="0"/>
      <w:marRight w:val="0"/>
      <w:marTop w:val="0"/>
      <w:marBottom w:val="0"/>
      <w:divBdr>
        <w:top w:val="none" w:sz="0" w:space="0" w:color="auto"/>
        <w:left w:val="none" w:sz="0" w:space="0" w:color="auto"/>
        <w:bottom w:val="none" w:sz="0" w:space="0" w:color="auto"/>
        <w:right w:val="none" w:sz="0" w:space="0" w:color="auto"/>
      </w:divBdr>
    </w:div>
    <w:div w:id="232785209">
      <w:bodyDiv w:val="1"/>
      <w:marLeft w:val="0"/>
      <w:marRight w:val="0"/>
      <w:marTop w:val="0"/>
      <w:marBottom w:val="0"/>
      <w:divBdr>
        <w:top w:val="none" w:sz="0" w:space="0" w:color="auto"/>
        <w:left w:val="none" w:sz="0" w:space="0" w:color="auto"/>
        <w:bottom w:val="none" w:sz="0" w:space="0" w:color="auto"/>
        <w:right w:val="none" w:sz="0" w:space="0" w:color="auto"/>
      </w:divBdr>
      <w:divsChild>
        <w:div w:id="1088699191">
          <w:marLeft w:val="0"/>
          <w:marRight w:val="0"/>
          <w:marTop w:val="0"/>
          <w:marBottom w:val="0"/>
          <w:divBdr>
            <w:top w:val="none" w:sz="0" w:space="0" w:color="auto"/>
            <w:left w:val="none" w:sz="0" w:space="0" w:color="auto"/>
            <w:bottom w:val="none" w:sz="0" w:space="0" w:color="auto"/>
            <w:right w:val="none" w:sz="0" w:space="0" w:color="auto"/>
          </w:divBdr>
        </w:div>
        <w:div w:id="1496216938">
          <w:marLeft w:val="0"/>
          <w:marRight w:val="0"/>
          <w:marTop w:val="0"/>
          <w:marBottom w:val="0"/>
          <w:divBdr>
            <w:top w:val="none" w:sz="0" w:space="0" w:color="auto"/>
            <w:left w:val="none" w:sz="0" w:space="0" w:color="auto"/>
            <w:bottom w:val="none" w:sz="0" w:space="0" w:color="auto"/>
            <w:right w:val="none" w:sz="0" w:space="0" w:color="auto"/>
          </w:divBdr>
        </w:div>
      </w:divsChild>
    </w:div>
    <w:div w:id="257297159">
      <w:bodyDiv w:val="1"/>
      <w:marLeft w:val="0"/>
      <w:marRight w:val="0"/>
      <w:marTop w:val="0"/>
      <w:marBottom w:val="0"/>
      <w:divBdr>
        <w:top w:val="none" w:sz="0" w:space="0" w:color="auto"/>
        <w:left w:val="none" w:sz="0" w:space="0" w:color="auto"/>
        <w:bottom w:val="none" w:sz="0" w:space="0" w:color="auto"/>
        <w:right w:val="none" w:sz="0" w:space="0" w:color="auto"/>
      </w:divBdr>
    </w:div>
    <w:div w:id="263005263">
      <w:bodyDiv w:val="1"/>
      <w:marLeft w:val="0"/>
      <w:marRight w:val="0"/>
      <w:marTop w:val="0"/>
      <w:marBottom w:val="0"/>
      <w:divBdr>
        <w:top w:val="none" w:sz="0" w:space="0" w:color="auto"/>
        <w:left w:val="none" w:sz="0" w:space="0" w:color="auto"/>
        <w:bottom w:val="none" w:sz="0" w:space="0" w:color="auto"/>
        <w:right w:val="none" w:sz="0" w:space="0" w:color="auto"/>
      </w:divBdr>
      <w:divsChild>
        <w:div w:id="697318940">
          <w:marLeft w:val="0"/>
          <w:marRight w:val="0"/>
          <w:marTop w:val="0"/>
          <w:marBottom w:val="0"/>
          <w:divBdr>
            <w:top w:val="none" w:sz="0" w:space="0" w:color="auto"/>
            <w:left w:val="none" w:sz="0" w:space="0" w:color="auto"/>
            <w:bottom w:val="none" w:sz="0" w:space="0" w:color="auto"/>
            <w:right w:val="none" w:sz="0" w:space="0" w:color="auto"/>
          </w:divBdr>
        </w:div>
        <w:div w:id="1163089599">
          <w:marLeft w:val="0"/>
          <w:marRight w:val="0"/>
          <w:marTop w:val="0"/>
          <w:marBottom w:val="0"/>
          <w:divBdr>
            <w:top w:val="none" w:sz="0" w:space="0" w:color="auto"/>
            <w:left w:val="none" w:sz="0" w:space="0" w:color="auto"/>
            <w:bottom w:val="none" w:sz="0" w:space="0" w:color="auto"/>
            <w:right w:val="none" w:sz="0" w:space="0" w:color="auto"/>
          </w:divBdr>
        </w:div>
        <w:div w:id="1824467975">
          <w:marLeft w:val="0"/>
          <w:marRight w:val="0"/>
          <w:marTop w:val="0"/>
          <w:marBottom w:val="0"/>
          <w:divBdr>
            <w:top w:val="none" w:sz="0" w:space="0" w:color="auto"/>
            <w:left w:val="none" w:sz="0" w:space="0" w:color="auto"/>
            <w:bottom w:val="none" w:sz="0" w:space="0" w:color="auto"/>
            <w:right w:val="none" w:sz="0" w:space="0" w:color="auto"/>
          </w:divBdr>
        </w:div>
      </w:divsChild>
    </w:div>
    <w:div w:id="282611426">
      <w:bodyDiv w:val="1"/>
      <w:marLeft w:val="0"/>
      <w:marRight w:val="0"/>
      <w:marTop w:val="0"/>
      <w:marBottom w:val="0"/>
      <w:divBdr>
        <w:top w:val="none" w:sz="0" w:space="0" w:color="auto"/>
        <w:left w:val="none" w:sz="0" w:space="0" w:color="auto"/>
        <w:bottom w:val="none" w:sz="0" w:space="0" w:color="auto"/>
        <w:right w:val="none" w:sz="0" w:space="0" w:color="auto"/>
      </w:divBdr>
    </w:div>
    <w:div w:id="294802234">
      <w:bodyDiv w:val="1"/>
      <w:marLeft w:val="0"/>
      <w:marRight w:val="0"/>
      <w:marTop w:val="0"/>
      <w:marBottom w:val="0"/>
      <w:divBdr>
        <w:top w:val="none" w:sz="0" w:space="0" w:color="auto"/>
        <w:left w:val="none" w:sz="0" w:space="0" w:color="auto"/>
        <w:bottom w:val="none" w:sz="0" w:space="0" w:color="auto"/>
        <w:right w:val="none" w:sz="0" w:space="0" w:color="auto"/>
      </w:divBdr>
    </w:div>
    <w:div w:id="304428860">
      <w:bodyDiv w:val="1"/>
      <w:marLeft w:val="0"/>
      <w:marRight w:val="0"/>
      <w:marTop w:val="0"/>
      <w:marBottom w:val="0"/>
      <w:divBdr>
        <w:top w:val="none" w:sz="0" w:space="0" w:color="auto"/>
        <w:left w:val="none" w:sz="0" w:space="0" w:color="auto"/>
        <w:bottom w:val="none" w:sz="0" w:space="0" w:color="auto"/>
        <w:right w:val="none" w:sz="0" w:space="0" w:color="auto"/>
      </w:divBdr>
      <w:divsChild>
        <w:div w:id="1329212530">
          <w:marLeft w:val="0"/>
          <w:marRight w:val="0"/>
          <w:marTop w:val="0"/>
          <w:marBottom w:val="0"/>
          <w:divBdr>
            <w:top w:val="none" w:sz="0" w:space="0" w:color="auto"/>
            <w:left w:val="none" w:sz="0" w:space="0" w:color="auto"/>
            <w:bottom w:val="none" w:sz="0" w:space="0" w:color="auto"/>
            <w:right w:val="none" w:sz="0" w:space="0" w:color="auto"/>
          </w:divBdr>
        </w:div>
        <w:div w:id="481047277">
          <w:marLeft w:val="0"/>
          <w:marRight w:val="0"/>
          <w:marTop w:val="0"/>
          <w:marBottom w:val="0"/>
          <w:divBdr>
            <w:top w:val="none" w:sz="0" w:space="0" w:color="auto"/>
            <w:left w:val="none" w:sz="0" w:space="0" w:color="auto"/>
            <w:bottom w:val="none" w:sz="0" w:space="0" w:color="auto"/>
            <w:right w:val="none" w:sz="0" w:space="0" w:color="auto"/>
          </w:divBdr>
        </w:div>
        <w:div w:id="988903093">
          <w:marLeft w:val="0"/>
          <w:marRight w:val="0"/>
          <w:marTop w:val="0"/>
          <w:marBottom w:val="0"/>
          <w:divBdr>
            <w:top w:val="none" w:sz="0" w:space="0" w:color="auto"/>
            <w:left w:val="none" w:sz="0" w:space="0" w:color="auto"/>
            <w:bottom w:val="none" w:sz="0" w:space="0" w:color="auto"/>
            <w:right w:val="none" w:sz="0" w:space="0" w:color="auto"/>
          </w:divBdr>
        </w:div>
        <w:div w:id="624312104">
          <w:marLeft w:val="0"/>
          <w:marRight w:val="0"/>
          <w:marTop w:val="0"/>
          <w:marBottom w:val="0"/>
          <w:divBdr>
            <w:top w:val="none" w:sz="0" w:space="0" w:color="auto"/>
            <w:left w:val="none" w:sz="0" w:space="0" w:color="auto"/>
            <w:bottom w:val="none" w:sz="0" w:space="0" w:color="auto"/>
            <w:right w:val="none" w:sz="0" w:space="0" w:color="auto"/>
          </w:divBdr>
        </w:div>
        <w:div w:id="1842575118">
          <w:marLeft w:val="0"/>
          <w:marRight w:val="0"/>
          <w:marTop w:val="0"/>
          <w:marBottom w:val="0"/>
          <w:divBdr>
            <w:top w:val="none" w:sz="0" w:space="0" w:color="auto"/>
            <w:left w:val="none" w:sz="0" w:space="0" w:color="auto"/>
            <w:bottom w:val="none" w:sz="0" w:space="0" w:color="auto"/>
            <w:right w:val="none" w:sz="0" w:space="0" w:color="auto"/>
          </w:divBdr>
        </w:div>
      </w:divsChild>
    </w:div>
    <w:div w:id="386153659">
      <w:bodyDiv w:val="1"/>
      <w:marLeft w:val="0"/>
      <w:marRight w:val="0"/>
      <w:marTop w:val="0"/>
      <w:marBottom w:val="0"/>
      <w:divBdr>
        <w:top w:val="none" w:sz="0" w:space="0" w:color="auto"/>
        <w:left w:val="none" w:sz="0" w:space="0" w:color="auto"/>
        <w:bottom w:val="none" w:sz="0" w:space="0" w:color="auto"/>
        <w:right w:val="none" w:sz="0" w:space="0" w:color="auto"/>
      </w:divBdr>
      <w:divsChild>
        <w:div w:id="598563229">
          <w:marLeft w:val="0"/>
          <w:marRight w:val="0"/>
          <w:marTop w:val="0"/>
          <w:marBottom w:val="0"/>
          <w:divBdr>
            <w:top w:val="none" w:sz="0" w:space="0" w:color="auto"/>
            <w:left w:val="none" w:sz="0" w:space="0" w:color="auto"/>
            <w:bottom w:val="none" w:sz="0" w:space="0" w:color="auto"/>
            <w:right w:val="none" w:sz="0" w:space="0" w:color="auto"/>
          </w:divBdr>
        </w:div>
        <w:div w:id="1841115136">
          <w:marLeft w:val="0"/>
          <w:marRight w:val="0"/>
          <w:marTop w:val="0"/>
          <w:marBottom w:val="0"/>
          <w:divBdr>
            <w:top w:val="none" w:sz="0" w:space="0" w:color="auto"/>
            <w:left w:val="none" w:sz="0" w:space="0" w:color="auto"/>
            <w:bottom w:val="none" w:sz="0" w:space="0" w:color="auto"/>
            <w:right w:val="none" w:sz="0" w:space="0" w:color="auto"/>
          </w:divBdr>
        </w:div>
      </w:divsChild>
    </w:div>
    <w:div w:id="437218118">
      <w:bodyDiv w:val="1"/>
      <w:marLeft w:val="0"/>
      <w:marRight w:val="0"/>
      <w:marTop w:val="0"/>
      <w:marBottom w:val="0"/>
      <w:divBdr>
        <w:top w:val="none" w:sz="0" w:space="0" w:color="auto"/>
        <w:left w:val="none" w:sz="0" w:space="0" w:color="auto"/>
        <w:bottom w:val="none" w:sz="0" w:space="0" w:color="auto"/>
        <w:right w:val="none" w:sz="0" w:space="0" w:color="auto"/>
      </w:divBdr>
    </w:div>
    <w:div w:id="540021366">
      <w:bodyDiv w:val="1"/>
      <w:marLeft w:val="0"/>
      <w:marRight w:val="0"/>
      <w:marTop w:val="0"/>
      <w:marBottom w:val="0"/>
      <w:divBdr>
        <w:top w:val="none" w:sz="0" w:space="0" w:color="auto"/>
        <w:left w:val="none" w:sz="0" w:space="0" w:color="auto"/>
        <w:bottom w:val="none" w:sz="0" w:space="0" w:color="auto"/>
        <w:right w:val="none" w:sz="0" w:space="0" w:color="auto"/>
      </w:divBdr>
      <w:divsChild>
        <w:div w:id="36786242">
          <w:marLeft w:val="0"/>
          <w:marRight w:val="0"/>
          <w:marTop w:val="0"/>
          <w:marBottom w:val="0"/>
          <w:divBdr>
            <w:top w:val="none" w:sz="0" w:space="0" w:color="auto"/>
            <w:left w:val="none" w:sz="0" w:space="0" w:color="auto"/>
            <w:bottom w:val="none" w:sz="0" w:space="0" w:color="auto"/>
            <w:right w:val="none" w:sz="0" w:space="0" w:color="auto"/>
          </w:divBdr>
          <w:divsChild>
            <w:div w:id="2143884493">
              <w:marLeft w:val="0"/>
              <w:marRight w:val="0"/>
              <w:marTop w:val="0"/>
              <w:marBottom w:val="0"/>
              <w:divBdr>
                <w:top w:val="none" w:sz="0" w:space="0" w:color="auto"/>
                <w:left w:val="none" w:sz="0" w:space="0" w:color="auto"/>
                <w:bottom w:val="none" w:sz="0" w:space="0" w:color="auto"/>
                <w:right w:val="none" w:sz="0" w:space="0" w:color="auto"/>
              </w:divBdr>
              <w:divsChild>
                <w:div w:id="1562716379">
                  <w:marLeft w:val="0"/>
                  <w:marRight w:val="0"/>
                  <w:marTop w:val="0"/>
                  <w:marBottom w:val="0"/>
                  <w:divBdr>
                    <w:top w:val="none" w:sz="0" w:space="0" w:color="auto"/>
                    <w:left w:val="none" w:sz="0" w:space="0" w:color="auto"/>
                    <w:bottom w:val="none" w:sz="0" w:space="0" w:color="auto"/>
                    <w:right w:val="none" w:sz="0" w:space="0" w:color="auto"/>
                  </w:divBdr>
                </w:div>
                <w:div w:id="1558710090">
                  <w:marLeft w:val="0"/>
                  <w:marRight w:val="0"/>
                  <w:marTop w:val="0"/>
                  <w:marBottom w:val="0"/>
                  <w:divBdr>
                    <w:top w:val="none" w:sz="0" w:space="0" w:color="auto"/>
                    <w:left w:val="none" w:sz="0" w:space="0" w:color="auto"/>
                    <w:bottom w:val="none" w:sz="0" w:space="0" w:color="auto"/>
                    <w:right w:val="none" w:sz="0" w:space="0" w:color="auto"/>
                  </w:divBdr>
                </w:div>
                <w:div w:id="703677825">
                  <w:marLeft w:val="0"/>
                  <w:marRight w:val="0"/>
                  <w:marTop w:val="0"/>
                  <w:marBottom w:val="0"/>
                  <w:divBdr>
                    <w:top w:val="none" w:sz="0" w:space="0" w:color="auto"/>
                    <w:left w:val="none" w:sz="0" w:space="0" w:color="auto"/>
                    <w:bottom w:val="none" w:sz="0" w:space="0" w:color="auto"/>
                    <w:right w:val="none" w:sz="0" w:space="0" w:color="auto"/>
                  </w:divBdr>
                </w:div>
                <w:div w:id="19097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49878">
          <w:marLeft w:val="0"/>
          <w:marRight w:val="0"/>
          <w:marTop w:val="0"/>
          <w:marBottom w:val="0"/>
          <w:divBdr>
            <w:top w:val="none" w:sz="0" w:space="0" w:color="auto"/>
            <w:left w:val="none" w:sz="0" w:space="0" w:color="auto"/>
            <w:bottom w:val="none" w:sz="0" w:space="0" w:color="auto"/>
            <w:right w:val="none" w:sz="0" w:space="0" w:color="auto"/>
          </w:divBdr>
          <w:divsChild>
            <w:div w:id="1079599382">
              <w:marLeft w:val="0"/>
              <w:marRight w:val="0"/>
              <w:marTop w:val="0"/>
              <w:marBottom w:val="0"/>
              <w:divBdr>
                <w:top w:val="none" w:sz="0" w:space="0" w:color="auto"/>
                <w:left w:val="none" w:sz="0" w:space="0" w:color="auto"/>
                <w:bottom w:val="none" w:sz="0" w:space="0" w:color="auto"/>
                <w:right w:val="none" w:sz="0" w:space="0" w:color="auto"/>
              </w:divBdr>
              <w:divsChild>
                <w:div w:id="46416479">
                  <w:marLeft w:val="0"/>
                  <w:marRight w:val="0"/>
                  <w:marTop w:val="0"/>
                  <w:marBottom w:val="0"/>
                  <w:divBdr>
                    <w:top w:val="none" w:sz="0" w:space="0" w:color="auto"/>
                    <w:left w:val="none" w:sz="0" w:space="0" w:color="auto"/>
                    <w:bottom w:val="none" w:sz="0" w:space="0" w:color="auto"/>
                    <w:right w:val="none" w:sz="0" w:space="0" w:color="auto"/>
                  </w:divBdr>
                </w:div>
                <w:div w:id="1186140169">
                  <w:marLeft w:val="0"/>
                  <w:marRight w:val="0"/>
                  <w:marTop w:val="0"/>
                  <w:marBottom w:val="0"/>
                  <w:divBdr>
                    <w:top w:val="none" w:sz="0" w:space="0" w:color="auto"/>
                    <w:left w:val="none" w:sz="0" w:space="0" w:color="auto"/>
                    <w:bottom w:val="none" w:sz="0" w:space="0" w:color="auto"/>
                    <w:right w:val="none" w:sz="0" w:space="0" w:color="auto"/>
                  </w:divBdr>
                </w:div>
                <w:div w:id="11353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3425">
          <w:marLeft w:val="0"/>
          <w:marRight w:val="0"/>
          <w:marTop w:val="0"/>
          <w:marBottom w:val="0"/>
          <w:divBdr>
            <w:top w:val="none" w:sz="0" w:space="0" w:color="auto"/>
            <w:left w:val="none" w:sz="0" w:space="0" w:color="auto"/>
            <w:bottom w:val="none" w:sz="0" w:space="0" w:color="auto"/>
            <w:right w:val="none" w:sz="0" w:space="0" w:color="auto"/>
          </w:divBdr>
          <w:divsChild>
            <w:div w:id="1318610621">
              <w:marLeft w:val="0"/>
              <w:marRight w:val="0"/>
              <w:marTop w:val="0"/>
              <w:marBottom w:val="0"/>
              <w:divBdr>
                <w:top w:val="none" w:sz="0" w:space="0" w:color="auto"/>
                <w:left w:val="none" w:sz="0" w:space="0" w:color="auto"/>
                <w:bottom w:val="none" w:sz="0" w:space="0" w:color="auto"/>
                <w:right w:val="none" w:sz="0" w:space="0" w:color="auto"/>
              </w:divBdr>
              <w:divsChild>
                <w:div w:id="18128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4923">
          <w:marLeft w:val="0"/>
          <w:marRight w:val="0"/>
          <w:marTop w:val="0"/>
          <w:marBottom w:val="0"/>
          <w:divBdr>
            <w:top w:val="none" w:sz="0" w:space="0" w:color="auto"/>
            <w:left w:val="none" w:sz="0" w:space="0" w:color="auto"/>
            <w:bottom w:val="none" w:sz="0" w:space="0" w:color="auto"/>
            <w:right w:val="none" w:sz="0" w:space="0" w:color="auto"/>
          </w:divBdr>
          <w:divsChild>
            <w:div w:id="1444812342">
              <w:marLeft w:val="0"/>
              <w:marRight w:val="0"/>
              <w:marTop w:val="0"/>
              <w:marBottom w:val="0"/>
              <w:divBdr>
                <w:top w:val="none" w:sz="0" w:space="0" w:color="auto"/>
                <w:left w:val="none" w:sz="0" w:space="0" w:color="auto"/>
                <w:bottom w:val="none" w:sz="0" w:space="0" w:color="auto"/>
                <w:right w:val="none" w:sz="0" w:space="0" w:color="auto"/>
              </w:divBdr>
              <w:divsChild>
                <w:div w:id="894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5874">
      <w:bodyDiv w:val="1"/>
      <w:marLeft w:val="0"/>
      <w:marRight w:val="0"/>
      <w:marTop w:val="0"/>
      <w:marBottom w:val="0"/>
      <w:divBdr>
        <w:top w:val="none" w:sz="0" w:space="0" w:color="auto"/>
        <w:left w:val="none" w:sz="0" w:space="0" w:color="auto"/>
        <w:bottom w:val="none" w:sz="0" w:space="0" w:color="auto"/>
        <w:right w:val="none" w:sz="0" w:space="0" w:color="auto"/>
      </w:divBdr>
      <w:divsChild>
        <w:div w:id="2055734753">
          <w:marLeft w:val="0"/>
          <w:marRight w:val="0"/>
          <w:marTop w:val="0"/>
          <w:marBottom w:val="0"/>
          <w:divBdr>
            <w:top w:val="none" w:sz="0" w:space="0" w:color="auto"/>
            <w:left w:val="none" w:sz="0" w:space="0" w:color="auto"/>
            <w:bottom w:val="none" w:sz="0" w:space="0" w:color="auto"/>
            <w:right w:val="none" w:sz="0" w:space="0" w:color="auto"/>
          </w:divBdr>
          <w:divsChild>
            <w:div w:id="2011712977">
              <w:marLeft w:val="0"/>
              <w:marRight w:val="0"/>
              <w:marTop w:val="0"/>
              <w:marBottom w:val="0"/>
              <w:divBdr>
                <w:top w:val="none" w:sz="0" w:space="0" w:color="auto"/>
                <w:left w:val="none" w:sz="0" w:space="0" w:color="auto"/>
                <w:bottom w:val="none" w:sz="0" w:space="0" w:color="auto"/>
                <w:right w:val="none" w:sz="0" w:space="0" w:color="auto"/>
              </w:divBdr>
            </w:div>
          </w:divsChild>
        </w:div>
        <w:div w:id="961880591">
          <w:marLeft w:val="0"/>
          <w:marRight w:val="0"/>
          <w:marTop w:val="0"/>
          <w:marBottom w:val="0"/>
          <w:divBdr>
            <w:top w:val="none" w:sz="0" w:space="0" w:color="auto"/>
            <w:left w:val="none" w:sz="0" w:space="0" w:color="auto"/>
            <w:bottom w:val="none" w:sz="0" w:space="0" w:color="auto"/>
            <w:right w:val="none" w:sz="0" w:space="0" w:color="auto"/>
          </w:divBdr>
          <w:divsChild>
            <w:div w:id="234971855">
              <w:marLeft w:val="0"/>
              <w:marRight w:val="0"/>
              <w:marTop w:val="0"/>
              <w:marBottom w:val="0"/>
              <w:divBdr>
                <w:top w:val="none" w:sz="0" w:space="0" w:color="auto"/>
                <w:left w:val="none" w:sz="0" w:space="0" w:color="auto"/>
                <w:bottom w:val="none" w:sz="0" w:space="0" w:color="auto"/>
                <w:right w:val="none" w:sz="0" w:space="0" w:color="auto"/>
              </w:divBdr>
            </w:div>
          </w:divsChild>
        </w:div>
        <w:div w:id="336153377">
          <w:marLeft w:val="0"/>
          <w:marRight w:val="0"/>
          <w:marTop w:val="0"/>
          <w:marBottom w:val="0"/>
          <w:divBdr>
            <w:top w:val="none" w:sz="0" w:space="0" w:color="auto"/>
            <w:left w:val="none" w:sz="0" w:space="0" w:color="auto"/>
            <w:bottom w:val="none" w:sz="0" w:space="0" w:color="auto"/>
            <w:right w:val="none" w:sz="0" w:space="0" w:color="auto"/>
          </w:divBdr>
          <w:divsChild>
            <w:div w:id="894393024">
              <w:marLeft w:val="0"/>
              <w:marRight w:val="0"/>
              <w:marTop w:val="0"/>
              <w:marBottom w:val="0"/>
              <w:divBdr>
                <w:top w:val="none" w:sz="0" w:space="0" w:color="auto"/>
                <w:left w:val="none" w:sz="0" w:space="0" w:color="auto"/>
                <w:bottom w:val="none" w:sz="0" w:space="0" w:color="auto"/>
                <w:right w:val="none" w:sz="0" w:space="0" w:color="auto"/>
              </w:divBdr>
            </w:div>
          </w:divsChild>
        </w:div>
        <w:div w:id="713432630">
          <w:marLeft w:val="0"/>
          <w:marRight w:val="0"/>
          <w:marTop w:val="0"/>
          <w:marBottom w:val="0"/>
          <w:divBdr>
            <w:top w:val="none" w:sz="0" w:space="0" w:color="auto"/>
            <w:left w:val="none" w:sz="0" w:space="0" w:color="auto"/>
            <w:bottom w:val="none" w:sz="0" w:space="0" w:color="auto"/>
            <w:right w:val="none" w:sz="0" w:space="0" w:color="auto"/>
          </w:divBdr>
          <w:divsChild>
            <w:div w:id="1019694283">
              <w:marLeft w:val="0"/>
              <w:marRight w:val="0"/>
              <w:marTop w:val="0"/>
              <w:marBottom w:val="0"/>
              <w:divBdr>
                <w:top w:val="none" w:sz="0" w:space="0" w:color="auto"/>
                <w:left w:val="none" w:sz="0" w:space="0" w:color="auto"/>
                <w:bottom w:val="none" w:sz="0" w:space="0" w:color="auto"/>
                <w:right w:val="none" w:sz="0" w:space="0" w:color="auto"/>
              </w:divBdr>
            </w:div>
          </w:divsChild>
        </w:div>
        <w:div w:id="1832868798">
          <w:marLeft w:val="0"/>
          <w:marRight w:val="0"/>
          <w:marTop w:val="0"/>
          <w:marBottom w:val="0"/>
          <w:divBdr>
            <w:top w:val="none" w:sz="0" w:space="0" w:color="auto"/>
            <w:left w:val="none" w:sz="0" w:space="0" w:color="auto"/>
            <w:bottom w:val="none" w:sz="0" w:space="0" w:color="auto"/>
            <w:right w:val="none" w:sz="0" w:space="0" w:color="auto"/>
          </w:divBdr>
          <w:divsChild>
            <w:div w:id="2138446709">
              <w:marLeft w:val="0"/>
              <w:marRight w:val="0"/>
              <w:marTop w:val="0"/>
              <w:marBottom w:val="0"/>
              <w:divBdr>
                <w:top w:val="none" w:sz="0" w:space="0" w:color="auto"/>
                <w:left w:val="none" w:sz="0" w:space="0" w:color="auto"/>
                <w:bottom w:val="none" w:sz="0" w:space="0" w:color="auto"/>
                <w:right w:val="none" w:sz="0" w:space="0" w:color="auto"/>
              </w:divBdr>
            </w:div>
            <w:div w:id="1383942854">
              <w:marLeft w:val="0"/>
              <w:marRight w:val="0"/>
              <w:marTop w:val="0"/>
              <w:marBottom w:val="0"/>
              <w:divBdr>
                <w:top w:val="none" w:sz="0" w:space="0" w:color="auto"/>
                <w:left w:val="none" w:sz="0" w:space="0" w:color="auto"/>
                <w:bottom w:val="none" w:sz="0" w:space="0" w:color="auto"/>
                <w:right w:val="none" w:sz="0" w:space="0" w:color="auto"/>
              </w:divBdr>
            </w:div>
            <w:div w:id="1227499242">
              <w:marLeft w:val="0"/>
              <w:marRight w:val="0"/>
              <w:marTop w:val="0"/>
              <w:marBottom w:val="0"/>
              <w:divBdr>
                <w:top w:val="none" w:sz="0" w:space="0" w:color="auto"/>
                <w:left w:val="none" w:sz="0" w:space="0" w:color="auto"/>
                <w:bottom w:val="none" w:sz="0" w:space="0" w:color="auto"/>
                <w:right w:val="none" w:sz="0" w:space="0" w:color="auto"/>
              </w:divBdr>
            </w:div>
            <w:div w:id="131098767">
              <w:marLeft w:val="0"/>
              <w:marRight w:val="0"/>
              <w:marTop w:val="0"/>
              <w:marBottom w:val="0"/>
              <w:divBdr>
                <w:top w:val="none" w:sz="0" w:space="0" w:color="auto"/>
                <w:left w:val="none" w:sz="0" w:space="0" w:color="auto"/>
                <w:bottom w:val="none" w:sz="0" w:space="0" w:color="auto"/>
                <w:right w:val="none" w:sz="0" w:space="0" w:color="auto"/>
              </w:divBdr>
            </w:div>
            <w:div w:id="34695050">
              <w:marLeft w:val="0"/>
              <w:marRight w:val="0"/>
              <w:marTop w:val="0"/>
              <w:marBottom w:val="0"/>
              <w:divBdr>
                <w:top w:val="none" w:sz="0" w:space="0" w:color="auto"/>
                <w:left w:val="none" w:sz="0" w:space="0" w:color="auto"/>
                <w:bottom w:val="none" w:sz="0" w:space="0" w:color="auto"/>
                <w:right w:val="none" w:sz="0" w:space="0" w:color="auto"/>
              </w:divBdr>
            </w:div>
            <w:div w:id="799038547">
              <w:marLeft w:val="0"/>
              <w:marRight w:val="0"/>
              <w:marTop w:val="0"/>
              <w:marBottom w:val="0"/>
              <w:divBdr>
                <w:top w:val="none" w:sz="0" w:space="0" w:color="auto"/>
                <w:left w:val="none" w:sz="0" w:space="0" w:color="auto"/>
                <w:bottom w:val="none" w:sz="0" w:space="0" w:color="auto"/>
                <w:right w:val="none" w:sz="0" w:space="0" w:color="auto"/>
              </w:divBdr>
            </w:div>
            <w:div w:id="1979264987">
              <w:marLeft w:val="0"/>
              <w:marRight w:val="0"/>
              <w:marTop w:val="0"/>
              <w:marBottom w:val="0"/>
              <w:divBdr>
                <w:top w:val="none" w:sz="0" w:space="0" w:color="auto"/>
                <w:left w:val="none" w:sz="0" w:space="0" w:color="auto"/>
                <w:bottom w:val="none" w:sz="0" w:space="0" w:color="auto"/>
                <w:right w:val="none" w:sz="0" w:space="0" w:color="auto"/>
              </w:divBdr>
            </w:div>
          </w:divsChild>
        </w:div>
        <w:div w:id="825558532">
          <w:marLeft w:val="0"/>
          <w:marRight w:val="0"/>
          <w:marTop w:val="0"/>
          <w:marBottom w:val="0"/>
          <w:divBdr>
            <w:top w:val="none" w:sz="0" w:space="0" w:color="auto"/>
            <w:left w:val="none" w:sz="0" w:space="0" w:color="auto"/>
            <w:bottom w:val="none" w:sz="0" w:space="0" w:color="auto"/>
            <w:right w:val="none" w:sz="0" w:space="0" w:color="auto"/>
          </w:divBdr>
          <w:divsChild>
            <w:div w:id="621377034">
              <w:marLeft w:val="0"/>
              <w:marRight w:val="0"/>
              <w:marTop w:val="0"/>
              <w:marBottom w:val="0"/>
              <w:divBdr>
                <w:top w:val="none" w:sz="0" w:space="0" w:color="auto"/>
                <w:left w:val="none" w:sz="0" w:space="0" w:color="auto"/>
                <w:bottom w:val="none" w:sz="0" w:space="0" w:color="auto"/>
                <w:right w:val="none" w:sz="0" w:space="0" w:color="auto"/>
              </w:divBdr>
            </w:div>
            <w:div w:id="463472365">
              <w:marLeft w:val="0"/>
              <w:marRight w:val="0"/>
              <w:marTop w:val="0"/>
              <w:marBottom w:val="0"/>
              <w:divBdr>
                <w:top w:val="none" w:sz="0" w:space="0" w:color="auto"/>
                <w:left w:val="none" w:sz="0" w:space="0" w:color="auto"/>
                <w:bottom w:val="none" w:sz="0" w:space="0" w:color="auto"/>
                <w:right w:val="none" w:sz="0" w:space="0" w:color="auto"/>
              </w:divBdr>
            </w:div>
          </w:divsChild>
        </w:div>
        <w:div w:id="489374088">
          <w:marLeft w:val="0"/>
          <w:marRight w:val="0"/>
          <w:marTop w:val="0"/>
          <w:marBottom w:val="0"/>
          <w:divBdr>
            <w:top w:val="none" w:sz="0" w:space="0" w:color="auto"/>
            <w:left w:val="none" w:sz="0" w:space="0" w:color="auto"/>
            <w:bottom w:val="none" w:sz="0" w:space="0" w:color="auto"/>
            <w:right w:val="none" w:sz="0" w:space="0" w:color="auto"/>
          </w:divBdr>
          <w:divsChild>
            <w:div w:id="1665935580">
              <w:marLeft w:val="0"/>
              <w:marRight w:val="0"/>
              <w:marTop w:val="0"/>
              <w:marBottom w:val="0"/>
              <w:divBdr>
                <w:top w:val="none" w:sz="0" w:space="0" w:color="auto"/>
                <w:left w:val="none" w:sz="0" w:space="0" w:color="auto"/>
                <w:bottom w:val="none" w:sz="0" w:space="0" w:color="auto"/>
                <w:right w:val="none" w:sz="0" w:space="0" w:color="auto"/>
              </w:divBdr>
            </w:div>
          </w:divsChild>
        </w:div>
        <w:div w:id="1723141258">
          <w:marLeft w:val="0"/>
          <w:marRight w:val="0"/>
          <w:marTop w:val="0"/>
          <w:marBottom w:val="0"/>
          <w:divBdr>
            <w:top w:val="none" w:sz="0" w:space="0" w:color="auto"/>
            <w:left w:val="none" w:sz="0" w:space="0" w:color="auto"/>
            <w:bottom w:val="none" w:sz="0" w:space="0" w:color="auto"/>
            <w:right w:val="none" w:sz="0" w:space="0" w:color="auto"/>
          </w:divBdr>
          <w:divsChild>
            <w:div w:id="752169723">
              <w:marLeft w:val="0"/>
              <w:marRight w:val="0"/>
              <w:marTop w:val="0"/>
              <w:marBottom w:val="0"/>
              <w:divBdr>
                <w:top w:val="none" w:sz="0" w:space="0" w:color="auto"/>
                <w:left w:val="none" w:sz="0" w:space="0" w:color="auto"/>
                <w:bottom w:val="none" w:sz="0" w:space="0" w:color="auto"/>
                <w:right w:val="none" w:sz="0" w:space="0" w:color="auto"/>
              </w:divBdr>
            </w:div>
          </w:divsChild>
        </w:div>
        <w:div w:id="1186939708">
          <w:marLeft w:val="0"/>
          <w:marRight w:val="0"/>
          <w:marTop w:val="0"/>
          <w:marBottom w:val="0"/>
          <w:divBdr>
            <w:top w:val="none" w:sz="0" w:space="0" w:color="auto"/>
            <w:left w:val="none" w:sz="0" w:space="0" w:color="auto"/>
            <w:bottom w:val="none" w:sz="0" w:space="0" w:color="auto"/>
            <w:right w:val="none" w:sz="0" w:space="0" w:color="auto"/>
          </w:divBdr>
          <w:divsChild>
            <w:div w:id="415176060">
              <w:marLeft w:val="0"/>
              <w:marRight w:val="0"/>
              <w:marTop w:val="0"/>
              <w:marBottom w:val="0"/>
              <w:divBdr>
                <w:top w:val="none" w:sz="0" w:space="0" w:color="auto"/>
                <w:left w:val="none" w:sz="0" w:space="0" w:color="auto"/>
                <w:bottom w:val="none" w:sz="0" w:space="0" w:color="auto"/>
                <w:right w:val="none" w:sz="0" w:space="0" w:color="auto"/>
              </w:divBdr>
            </w:div>
          </w:divsChild>
        </w:div>
        <w:div w:id="48967797">
          <w:marLeft w:val="0"/>
          <w:marRight w:val="0"/>
          <w:marTop w:val="0"/>
          <w:marBottom w:val="0"/>
          <w:divBdr>
            <w:top w:val="none" w:sz="0" w:space="0" w:color="auto"/>
            <w:left w:val="none" w:sz="0" w:space="0" w:color="auto"/>
            <w:bottom w:val="none" w:sz="0" w:space="0" w:color="auto"/>
            <w:right w:val="none" w:sz="0" w:space="0" w:color="auto"/>
          </w:divBdr>
          <w:divsChild>
            <w:div w:id="1985767558">
              <w:marLeft w:val="0"/>
              <w:marRight w:val="0"/>
              <w:marTop w:val="0"/>
              <w:marBottom w:val="0"/>
              <w:divBdr>
                <w:top w:val="none" w:sz="0" w:space="0" w:color="auto"/>
                <w:left w:val="none" w:sz="0" w:space="0" w:color="auto"/>
                <w:bottom w:val="none" w:sz="0" w:space="0" w:color="auto"/>
                <w:right w:val="none" w:sz="0" w:space="0" w:color="auto"/>
              </w:divBdr>
            </w:div>
          </w:divsChild>
        </w:div>
        <w:div w:id="317728296">
          <w:marLeft w:val="0"/>
          <w:marRight w:val="0"/>
          <w:marTop w:val="0"/>
          <w:marBottom w:val="0"/>
          <w:divBdr>
            <w:top w:val="none" w:sz="0" w:space="0" w:color="auto"/>
            <w:left w:val="none" w:sz="0" w:space="0" w:color="auto"/>
            <w:bottom w:val="none" w:sz="0" w:space="0" w:color="auto"/>
            <w:right w:val="none" w:sz="0" w:space="0" w:color="auto"/>
          </w:divBdr>
          <w:divsChild>
            <w:div w:id="322314549">
              <w:marLeft w:val="0"/>
              <w:marRight w:val="0"/>
              <w:marTop w:val="0"/>
              <w:marBottom w:val="0"/>
              <w:divBdr>
                <w:top w:val="none" w:sz="0" w:space="0" w:color="auto"/>
                <w:left w:val="none" w:sz="0" w:space="0" w:color="auto"/>
                <w:bottom w:val="none" w:sz="0" w:space="0" w:color="auto"/>
                <w:right w:val="none" w:sz="0" w:space="0" w:color="auto"/>
              </w:divBdr>
            </w:div>
          </w:divsChild>
        </w:div>
        <w:div w:id="235554130">
          <w:marLeft w:val="0"/>
          <w:marRight w:val="0"/>
          <w:marTop w:val="0"/>
          <w:marBottom w:val="0"/>
          <w:divBdr>
            <w:top w:val="none" w:sz="0" w:space="0" w:color="auto"/>
            <w:left w:val="none" w:sz="0" w:space="0" w:color="auto"/>
            <w:bottom w:val="none" w:sz="0" w:space="0" w:color="auto"/>
            <w:right w:val="none" w:sz="0" w:space="0" w:color="auto"/>
          </w:divBdr>
          <w:divsChild>
            <w:div w:id="1568681951">
              <w:marLeft w:val="0"/>
              <w:marRight w:val="0"/>
              <w:marTop w:val="0"/>
              <w:marBottom w:val="0"/>
              <w:divBdr>
                <w:top w:val="none" w:sz="0" w:space="0" w:color="auto"/>
                <w:left w:val="none" w:sz="0" w:space="0" w:color="auto"/>
                <w:bottom w:val="none" w:sz="0" w:space="0" w:color="auto"/>
                <w:right w:val="none" w:sz="0" w:space="0" w:color="auto"/>
              </w:divBdr>
            </w:div>
          </w:divsChild>
        </w:div>
        <w:div w:id="1367633836">
          <w:marLeft w:val="0"/>
          <w:marRight w:val="0"/>
          <w:marTop w:val="0"/>
          <w:marBottom w:val="0"/>
          <w:divBdr>
            <w:top w:val="none" w:sz="0" w:space="0" w:color="auto"/>
            <w:left w:val="none" w:sz="0" w:space="0" w:color="auto"/>
            <w:bottom w:val="none" w:sz="0" w:space="0" w:color="auto"/>
            <w:right w:val="none" w:sz="0" w:space="0" w:color="auto"/>
          </w:divBdr>
          <w:divsChild>
            <w:div w:id="1859999089">
              <w:marLeft w:val="0"/>
              <w:marRight w:val="0"/>
              <w:marTop w:val="0"/>
              <w:marBottom w:val="0"/>
              <w:divBdr>
                <w:top w:val="none" w:sz="0" w:space="0" w:color="auto"/>
                <w:left w:val="none" w:sz="0" w:space="0" w:color="auto"/>
                <w:bottom w:val="none" w:sz="0" w:space="0" w:color="auto"/>
                <w:right w:val="none" w:sz="0" w:space="0" w:color="auto"/>
              </w:divBdr>
            </w:div>
            <w:div w:id="68354327">
              <w:marLeft w:val="0"/>
              <w:marRight w:val="0"/>
              <w:marTop w:val="0"/>
              <w:marBottom w:val="0"/>
              <w:divBdr>
                <w:top w:val="none" w:sz="0" w:space="0" w:color="auto"/>
                <w:left w:val="none" w:sz="0" w:space="0" w:color="auto"/>
                <w:bottom w:val="none" w:sz="0" w:space="0" w:color="auto"/>
                <w:right w:val="none" w:sz="0" w:space="0" w:color="auto"/>
              </w:divBdr>
            </w:div>
            <w:div w:id="1749036124">
              <w:marLeft w:val="0"/>
              <w:marRight w:val="0"/>
              <w:marTop w:val="0"/>
              <w:marBottom w:val="0"/>
              <w:divBdr>
                <w:top w:val="none" w:sz="0" w:space="0" w:color="auto"/>
                <w:left w:val="none" w:sz="0" w:space="0" w:color="auto"/>
                <w:bottom w:val="none" w:sz="0" w:space="0" w:color="auto"/>
                <w:right w:val="none" w:sz="0" w:space="0" w:color="auto"/>
              </w:divBdr>
            </w:div>
          </w:divsChild>
        </w:div>
        <w:div w:id="1826773111">
          <w:marLeft w:val="0"/>
          <w:marRight w:val="0"/>
          <w:marTop w:val="0"/>
          <w:marBottom w:val="0"/>
          <w:divBdr>
            <w:top w:val="none" w:sz="0" w:space="0" w:color="auto"/>
            <w:left w:val="none" w:sz="0" w:space="0" w:color="auto"/>
            <w:bottom w:val="none" w:sz="0" w:space="0" w:color="auto"/>
            <w:right w:val="none" w:sz="0" w:space="0" w:color="auto"/>
          </w:divBdr>
          <w:divsChild>
            <w:div w:id="977342348">
              <w:marLeft w:val="0"/>
              <w:marRight w:val="0"/>
              <w:marTop w:val="0"/>
              <w:marBottom w:val="0"/>
              <w:divBdr>
                <w:top w:val="none" w:sz="0" w:space="0" w:color="auto"/>
                <w:left w:val="none" w:sz="0" w:space="0" w:color="auto"/>
                <w:bottom w:val="none" w:sz="0" w:space="0" w:color="auto"/>
                <w:right w:val="none" w:sz="0" w:space="0" w:color="auto"/>
              </w:divBdr>
            </w:div>
            <w:div w:id="131025535">
              <w:marLeft w:val="0"/>
              <w:marRight w:val="0"/>
              <w:marTop w:val="0"/>
              <w:marBottom w:val="0"/>
              <w:divBdr>
                <w:top w:val="none" w:sz="0" w:space="0" w:color="auto"/>
                <w:left w:val="none" w:sz="0" w:space="0" w:color="auto"/>
                <w:bottom w:val="none" w:sz="0" w:space="0" w:color="auto"/>
                <w:right w:val="none" w:sz="0" w:space="0" w:color="auto"/>
              </w:divBdr>
            </w:div>
            <w:div w:id="449134319">
              <w:marLeft w:val="0"/>
              <w:marRight w:val="0"/>
              <w:marTop w:val="0"/>
              <w:marBottom w:val="0"/>
              <w:divBdr>
                <w:top w:val="none" w:sz="0" w:space="0" w:color="auto"/>
                <w:left w:val="none" w:sz="0" w:space="0" w:color="auto"/>
                <w:bottom w:val="none" w:sz="0" w:space="0" w:color="auto"/>
                <w:right w:val="none" w:sz="0" w:space="0" w:color="auto"/>
              </w:divBdr>
            </w:div>
          </w:divsChild>
        </w:div>
        <w:div w:id="1753889389">
          <w:marLeft w:val="0"/>
          <w:marRight w:val="0"/>
          <w:marTop w:val="0"/>
          <w:marBottom w:val="0"/>
          <w:divBdr>
            <w:top w:val="none" w:sz="0" w:space="0" w:color="auto"/>
            <w:left w:val="none" w:sz="0" w:space="0" w:color="auto"/>
            <w:bottom w:val="none" w:sz="0" w:space="0" w:color="auto"/>
            <w:right w:val="none" w:sz="0" w:space="0" w:color="auto"/>
          </w:divBdr>
          <w:divsChild>
            <w:div w:id="1730953510">
              <w:marLeft w:val="0"/>
              <w:marRight w:val="0"/>
              <w:marTop w:val="0"/>
              <w:marBottom w:val="0"/>
              <w:divBdr>
                <w:top w:val="none" w:sz="0" w:space="0" w:color="auto"/>
                <w:left w:val="none" w:sz="0" w:space="0" w:color="auto"/>
                <w:bottom w:val="none" w:sz="0" w:space="0" w:color="auto"/>
                <w:right w:val="none" w:sz="0" w:space="0" w:color="auto"/>
              </w:divBdr>
            </w:div>
          </w:divsChild>
        </w:div>
        <w:div w:id="377046168">
          <w:marLeft w:val="0"/>
          <w:marRight w:val="0"/>
          <w:marTop w:val="0"/>
          <w:marBottom w:val="0"/>
          <w:divBdr>
            <w:top w:val="none" w:sz="0" w:space="0" w:color="auto"/>
            <w:left w:val="none" w:sz="0" w:space="0" w:color="auto"/>
            <w:bottom w:val="none" w:sz="0" w:space="0" w:color="auto"/>
            <w:right w:val="none" w:sz="0" w:space="0" w:color="auto"/>
          </w:divBdr>
          <w:divsChild>
            <w:div w:id="21389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10637">
      <w:bodyDiv w:val="1"/>
      <w:marLeft w:val="0"/>
      <w:marRight w:val="0"/>
      <w:marTop w:val="0"/>
      <w:marBottom w:val="0"/>
      <w:divBdr>
        <w:top w:val="none" w:sz="0" w:space="0" w:color="auto"/>
        <w:left w:val="none" w:sz="0" w:space="0" w:color="auto"/>
        <w:bottom w:val="none" w:sz="0" w:space="0" w:color="auto"/>
        <w:right w:val="none" w:sz="0" w:space="0" w:color="auto"/>
      </w:divBdr>
      <w:divsChild>
        <w:div w:id="989796739">
          <w:marLeft w:val="0"/>
          <w:marRight w:val="0"/>
          <w:marTop w:val="0"/>
          <w:marBottom w:val="0"/>
          <w:divBdr>
            <w:top w:val="none" w:sz="0" w:space="0" w:color="auto"/>
            <w:left w:val="none" w:sz="0" w:space="0" w:color="auto"/>
            <w:bottom w:val="none" w:sz="0" w:space="0" w:color="auto"/>
            <w:right w:val="none" w:sz="0" w:space="0" w:color="auto"/>
          </w:divBdr>
        </w:div>
        <w:div w:id="1405495442">
          <w:marLeft w:val="0"/>
          <w:marRight w:val="0"/>
          <w:marTop w:val="0"/>
          <w:marBottom w:val="0"/>
          <w:divBdr>
            <w:top w:val="none" w:sz="0" w:space="0" w:color="auto"/>
            <w:left w:val="none" w:sz="0" w:space="0" w:color="auto"/>
            <w:bottom w:val="none" w:sz="0" w:space="0" w:color="auto"/>
            <w:right w:val="none" w:sz="0" w:space="0" w:color="auto"/>
          </w:divBdr>
        </w:div>
        <w:div w:id="2028436878">
          <w:marLeft w:val="0"/>
          <w:marRight w:val="0"/>
          <w:marTop w:val="0"/>
          <w:marBottom w:val="0"/>
          <w:divBdr>
            <w:top w:val="none" w:sz="0" w:space="0" w:color="auto"/>
            <w:left w:val="none" w:sz="0" w:space="0" w:color="auto"/>
            <w:bottom w:val="none" w:sz="0" w:space="0" w:color="auto"/>
            <w:right w:val="none" w:sz="0" w:space="0" w:color="auto"/>
          </w:divBdr>
        </w:div>
        <w:div w:id="1740319783">
          <w:marLeft w:val="0"/>
          <w:marRight w:val="0"/>
          <w:marTop w:val="0"/>
          <w:marBottom w:val="0"/>
          <w:divBdr>
            <w:top w:val="none" w:sz="0" w:space="0" w:color="auto"/>
            <w:left w:val="none" w:sz="0" w:space="0" w:color="auto"/>
            <w:bottom w:val="none" w:sz="0" w:space="0" w:color="auto"/>
            <w:right w:val="none" w:sz="0" w:space="0" w:color="auto"/>
          </w:divBdr>
        </w:div>
        <w:div w:id="2063824663">
          <w:marLeft w:val="0"/>
          <w:marRight w:val="0"/>
          <w:marTop w:val="0"/>
          <w:marBottom w:val="0"/>
          <w:divBdr>
            <w:top w:val="none" w:sz="0" w:space="0" w:color="auto"/>
            <w:left w:val="none" w:sz="0" w:space="0" w:color="auto"/>
            <w:bottom w:val="none" w:sz="0" w:space="0" w:color="auto"/>
            <w:right w:val="none" w:sz="0" w:space="0" w:color="auto"/>
          </w:divBdr>
        </w:div>
        <w:div w:id="1762221215">
          <w:marLeft w:val="0"/>
          <w:marRight w:val="0"/>
          <w:marTop w:val="0"/>
          <w:marBottom w:val="0"/>
          <w:divBdr>
            <w:top w:val="none" w:sz="0" w:space="0" w:color="auto"/>
            <w:left w:val="none" w:sz="0" w:space="0" w:color="auto"/>
            <w:bottom w:val="none" w:sz="0" w:space="0" w:color="auto"/>
            <w:right w:val="none" w:sz="0" w:space="0" w:color="auto"/>
          </w:divBdr>
        </w:div>
        <w:div w:id="1907297829">
          <w:marLeft w:val="0"/>
          <w:marRight w:val="0"/>
          <w:marTop w:val="0"/>
          <w:marBottom w:val="0"/>
          <w:divBdr>
            <w:top w:val="none" w:sz="0" w:space="0" w:color="auto"/>
            <w:left w:val="none" w:sz="0" w:space="0" w:color="auto"/>
            <w:bottom w:val="none" w:sz="0" w:space="0" w:color="auto"/>
            <w:right w:val="none" w:sz="0" w:space="0" w:color="auto"/>
          </w:divBdr>
        </w:div>
      </w:divsChild>
    </w:div>
    <w:div w:id="560214626">
      <w:bodyDiv w:val="1"/>
      <w:marLeft w:val="0"/>
      <w:marRight w:val="0"/>
      <w:marTop w:val="0"/>
      <w:marBottom w:val="0"/>
      <w:divBdr>
        <w:top w:val="none" w:sz="0" w:space="0" w:color="auto"/>
        <w:left w:val="none" w:sz="0" w:space="0" w:color="auto"/>
        <w:bottom w:val="none" w:sz="0" w:space="0" w:color="auto"/>
        <w:right w:val="none" w:sz="0" w:space="0" w:color="auto"/>
      </w:divBdr>
      <w:divsChild>
        <w:div w:id="135924309">
          <w:marLeft w:val="0"/>
          <w:marRight w:val="0"/>
          <w:marTop w:val="0"/>
          <w:marBottom w:val="0"/>
          <w:divBdr>
            <w:top w:val="none" w:sz="0" w:space="0" w:color="auto"/>
            <w:left w:val="none" w:sz="0" w:space="0" w:color="auto"/>
            <w:bottom w:val="none" w:sz="0" w:space="0" w:color="auto"/>
            <w:right w:val="none" w:sz="0" w:space="0" w:color="auto"/>
          </w:divBdr>
        </w:div>
        <w:div w:id="1635526466">
          <w:marLeft w:val="0"/>
          <w:marRight w:val="0"/>
          <w:marTop w:val="0"/>
          <w:marBottom w:val="0"/>
          <w:divBdr>
            <w:top w:val="none" w:sz="0" w:space="0" w:color="auto"/>
            <w:left w:val="none" w:sz="0" w:space="0" w:color="auto"/>
            <w:bottom w:val="none" w:sz="0" w:space="0" w:color="auto"/>
            <w:right w:val="none" w:sz="0" w:space="0" w:color="auto"/>
          </w:divBdr>
        </w:div>
      </w:divsChild>
    </w:div>
    <w:div w:id="585581166">
      <w:bodyDiv w:val="1"/>
      <w:marLeft w:val="0"/>
      <w:marRight w:val="0"/>
      <w:marTop w:val="0"/>
      <w:marBottom w:val="0"/>
      <w:divBdr>
        <w:top w:val="none" w:sz="0" w:space="0" w:color="auto"/>
        <w:left w:val="none" w:sz="0" w:space="0" w:color="auto"/>
        <w:bottom w:val="none" w:sz="0" w:space="0" w:color="auto"/>
        <w:right w:val="none" w:sz="0" w:space="0" w:color="auto"/>
      </w:divBdr>
    </w:div>
    <w:div w:id="635181472">
      <w:bodyDiv w:val="1"/>
      <w:marLeft w:val="0"/>
      <w:marRight w:val="0"/>
      <w:marTop w:val="0"/>
      <w:marBottom w:val="0"/>
      <w:divBdr>
        <w:top w:val="none" w:sz="0" w:space="0" w:color="auto"/>
        <w:left w:val="none" w:sz="0" w:space="0" w:color="auto"/>
        <w:bottom w:val="none" w:sz="0" w:space="0" w:color="auto"/>
        <w:right w:val="none" w:sz="0" w:space="0" w:color="auto"/>
      </w:divBdr>
      <w:divsChild>
        <w:div w:id="1883206459">
          <w:marLeft w:val="0"/>
          <w:marRight w:val="0"/>
          <w:marTop w:val="0"/>
          <w:marBottom w:val="0"/>
          <w:divBdr>
            <w:top w:val="none" w:sz="0" w:space="0" w:color="auto"/>
            <w:left w:val="none" w:sz="0" w:space="0" w:color="auto"/>
            <w:bottom w:val="none" w:sz="0" w:space="0" w:color="auto"/>
            <w:right w:val="none" w:sz="0" w:space="0" w:color="auto"/>
          </w:divBdr>
        </w:div>
        <w:div w:id="1482575857">
          <w:marLeft w:val="0"/>
          <w:marRight w:val="0"/>
          <w:marTop w:val="0"/>
          <w:marBottom w:val="0"/>
          <w:divBdr>
            <w:top w:val="none" w:sz="0" w:space="0" w:color="auto"/>
            <w:left w:val="none" w:sz="0" w:space="0" w:color="auto"/>
            <w:bottom w:val="none" w:sz="0" w:space="0" w:color="auto"/>
            <w:right w:val="none" w:sz="0" w:space="0" w:color="auto"/>
          </w:divBdr>
        </w:div>
        <w:div w:id="1741562554">
          <w:marLeft w:val="0"/>
          <w:marRight w:val="0"/>
          <w:marTop w:val="0"/>
          <w:marBottom w:val="0"/>
          <w:divBdr>
            <w:top w:val="none" w:sz="0" w:space="0" w:color="auto"/>
            <w:left w:val="none" w:sz="0" w:space="0" w:color="auto"/>
            <w:bottom w:val="none" w:sz="0" w:space="0" w:color="auto"/>
            <w:right w:val="none" w:sz="0" w:space="0" w:color="auto"/>
          </w:divBdr>
        </w:div>
        <w:div w:id="1016201270">
          <w:marLeft w:val="0"/>
          <w:marRight w:val="0"/>
          <w:marTop w:val="0"/>
          <w:marBottom w:val="0"/>
          <w:divBdr>
            <w:top w:val="none" w:sz="0" w:space="0" w:color="auto"/>
            <w:left w:val="none" w:sz="0" w:space="0" w:color="auto"/>
            <w:bottom w:val="none" w:sz="0" w:space="0" w:color="auto"/>
            <w:right w:val="none" w:sz="0" w:space="0" w:color="auto"/>
          </w:divBdr>
        </w:div>
      </w:divsChild>
    </w:div>
    <w:div w:id="643245176">
      <w:bodyDiv w:val="1"/>
      <w:marLeft w:val="0"/>
      <w:marRight w:val="0"/>
      <w:marTop w:val="0"/>
      <w:marBottom w:val="0"/>
      <w:divBdr>
        <w:top w:val="none" w:sz="0" w:space="0" w:color="auto"/>
        <w:left w:val="none" w:sz="0" w:space="0" w:color="auto"/>
        <w:bottom w:val="none" w:sz="0" w:space="0" w:color="auto"/>
        <w:right w:val="none" w:sz="0" w:space="0" w:color="auto"/>
      </w:divBdr>
      <w:divsChild>
        <w:div w:id="494298322">
          <w:marLeft w:val="0"/>
          <w:marRight w:val="0"/>
          <w:marTop w:val="0"/>
          <w:marBottom w:val="0"/>
          <w:divBdr>
            <w:top w:val="none" w:sz="0" w:space="0" w:color="auto"/>
            <w:left w:val="none" w:sz="0" w:space="0" w:color="auto"/>
            <w:bottom w:val="none" w:sz="0" w:space="0" w:color="auto"/>
            <w:right w:val="none" w:sz="0" w:space="0" w:color="auto"/>
          </w:divBdr>
        </w:div>
        <w:div w:id="1840540270">
          <w:marLeft w:val="0"/>
          <w:marRight w:val="0"/>
          <w:marTop w:val="0"/>
          <w:marBottom w:val="0"/>
          <w:divBdr>
            <w:top w:val="none" w:sz="0" w:space="0" w:color="auto"/>
            <w:left w:val="none" w:sz="0" w:space="0" w:color="auto"/>
            <w:bottom w:val="none" w:sz="0" w:space="0" w:color="auto"/>
            <w:right w:val="none" w:sz="0" w:space="0" w:color="auto"/>
          </w:divBdr>
        </w:div>
      </w:divsChild>
    </w:div>
    <w:div w:id="669914367">
      <w:bodyDiv w:val="1"/>
      <w:marLeft w:val="0"/>
      <w:marRight w:val="0"/>
      <w:marTop w:val="0"/>
      <w:marBottom w:val="0"/>
      <w:divBdr>
        <w:top w:val="none" w:sz="0" w:space="0" w:color="auto"/>
        <w:left w:val="none" w:sz="0" w:space="0" w:color="auto"/>
        <w:bottom w:val="none" w:sz="0" w:space="0" w:color="auto"/>
        <w:right w:val="none" w:sz="0" w:space="0" w:color="auto"/>
      </w:divBdr>
    </w:div>
    <w:div w:id="676270984">
      <w:bodyDiv w:val="1"/>
      <w:marLeft w:val="0"/>
      <w:marRight w:val="0"/>
      <w:marTop w:val="0"/>
      <w:marBottom w:val="0"/>
      <w:divBdr>
        <w:top w:val="none" w:sz="0" w:space="0" w:color="auto"/>
        <w:left w:val="none" w:sz="0" w:space="0" w:color="auto"/>
        <w:bottom w:val="none" w:sz="0" w:space="0" w:color="auto"/>
        <w:right w:val="none" w:sz="0" w:space="0" w:color="auto"/>
      </w:divBdr>
      <w:divsChild>
        <w:div w:id="530650993">
          <w:marLeft w:val="0"/>
          <w:marRight w:val="0"/>
          <w:marTop w:val="0"/>
          <w:marBottom w:val="0"/>
          <w:divBdr>
            <w:top w:val="none" w:sz="0" w:space="0" w:color="auto"/>
            <w:left w:val="none" w:sz="0" w:space="0" w:color="auto"/>
            <w:bottom w:val="none" w:sz="0" w:space="0" w:color="auto"/>
            <w:right w:val="none" w:sz="0" w:space="0" w:color="auto"/>
          </w:divBdr>
        </w:div>
        <w:div w:id="1605770777">
          <w:marLeft w:val="0"/>
          <w:marRight w:val="0"/>
          <w:marTop w:val="0"/>
          <w:marBottom w:val="0"/>
          <w:divBdr>
            <w:top w:val="none" w:sz="0" w:space="0" w:color="auto"/>
            <w:left w:val="none" w:sz="0" w:space="0" w:color="auto"/>
            <w:bottom w:val="none" w:sz="0" w:space="0" w:color="auto"/>
            <w:right w:val="none" w:sz="0" w:space="0" w:color="auto"/>
          </w:divBdr>
        </w:div>
        <w:div w:id="998772556">
          <w:marLeft w:val="0"/>
          <w:marRight w:val="0"/>
          <w:marTop w:val="0"/>
          <w:marBottom w:val="0"/>
          <w:divBdr>
            <w:top w:val="none" w:sz="0" w:space="0" w:color="auto"/>
            <w:left w:val="none" w:sz="0" w:space="0" w:color="auto"/>
            <w:bottom w:val="none" w:sz="0" w:space="0" w:color="auto"/>
            <w:right w:val="none" w:sz="0" w:space="0" w:color="auto"/>
          </w:divBdr>
        </w:div>
        <w:div w:id="1889411039">
          <w:marLeft w:val="0"/>
          <w:marRight w:val="0"/>
          <w:marTop w:val="0"/>
          <w:marBottom w:val="0"/>
          <w:divBdr>
            <w:top w:val="none" w:sz="0" w:space="0" w:color="auto"/>
            <w:left w:val="none" w:sz="0" w:space="0" w:color="auto"/>
            <w:bottom w:val="none" w:sz="0" w:space="0" w:color="auto"/>
            <w:right w:val="none" w:sz="0" w:space="0" w:color="auto"/>
          </w:divBdr>
        </w:div>
        <w:div w:id="1341615100">
          <w:marLeft w:val="0"/>
          <w:marRight w:val="0"/>
          <w:marTop w:val="0"/>
          <w:marBottom w:val="0"/>
          <w:divBdr>
            <w:top w:val="none" w:sz="0" w:space="0" w:color="auto"/>
            <w:left w:val="none" w:sz="0" w:space="0" w:color="auto"/>
            <w:bottom w:val="none" w:sz="0" w:space="0" w:color="auto"/>
            <w:right w:val="none" w:sz="0" w:space="0" w:color="auto"/>
          </w:divBdr>
        </w:div>
        <w:div w:id="1419672437">
          <w:marLeft w:val="0"/>
          <w:marRight w:val="0"/>
          <w:marTop w:val="0"/>
          <w:marBottom w:val="0"/>
          <w:divBdr>
            <w:top w:val="none" w:sz="0" w:space="0" w:color="auto"/>
            <w:left w:val="none" w:sz="0" w:space="0" w:color="auto"/>
            <w:bottom w:val="none" w:sz="0" w:space="0" w:color="auto"/>
            <w:right w:val="none" w:sz="0" w:space="0" w:color="auto"/>
          </w:divBdr>
        </w:div>
        <w:div w:id="2001349027">
          <w:marLeft w:val="0"/>
          <w:marRight w:val="0"/>
          <w:marTop w:val="0"/>
          <w:marBottom w:val="0"/>
          <w:divBdr>
            <w:top w:val="none" w:sz="0" w:space="0" w:color="auto"/>
            <w:left w:val="none" w:sz="0" w:space="0" w:color="auto"/>
            <w:bottom w:val="none" w:sz="0" w:space="0" w:color="auto"/>
            <w:right w:val="none" w:sz="0" w:space="0" w:color="auto"/>
          </w:divBdr>
        </w:div>
        <w:div w:id="1509296003">
          <w:marLeft w:val="0"/>
          <w:marRight w:val="0"/>
          <w:marTop w:val="0"/>
          <w:marBottom w:val="0"/>
          <w:divBdr>
            <w:top w:val="none" w:sz="0" w:space="0" w:color="auto"/>
            <w:left w:val="none" w:sz="0" w:space="0" w:color="auto"/>
            <w:bottom w:val="none" w:sz="0" w:space="0" w:color="auto"/>
            <w:right w:val="none" w:sz="0" w:space="0" w:color="auto"/>
          </w:divBdr>
        </w:div>
        <w:div w:id="795219660">
          <w:marLeft w:val="0"/>
          <w:marRight w:val="0"/>
          <w:marTop w:val="0"/>
          <w:marBottom w:val="0"/>
          <w:divBdr>
            <w:top w:val="none" w:sz="0" w:space="0" w:color="auto"/>
            <w:left w:val="none" w:sz="0" w:space="0" w:color="auto"/>
            <w:bottom w:val="none" w:sz="0" w:space="0" w:color="auto"/>
            <w:right w:val="none" w:sz="0" w:space="0" w:color="auto"/>
          </w:divBdr>
        </w:div>
        <w:div w:id="700934001">
          <w:marLeft w:val="0"/>
          <w:marRight w:val="0"/>
          <w:marTop w:val="0"/>
          <w:marBottom w:val="0"/>
          <w:divBdr>
            <w:top w:val="none" w:sz="0" w:space="0" w:color="auto"/>
            <w:left w:val="none" w:sz="0" w:space="0" w:color="auto"/>
            <w:bottom w:val="none" w:sz="0" w:space="0" w:color="auto"/>
            <w:right w:val="none" w:sz="0" w:space="0" w:color="auto"/>
          </w:divBdr>
        </w:div>
        <w:div w:id="245698788">
          <w:marLeft w:val="0"/>
          <w:marRight w:val="0"/>
          <w:marTop w:val="0"/>
          <w:marBottom w:val="0"/>
          <w:divBdr>
            <w:top w:val="none" w:sz="0" w:space="0" w:color="auto"/>
            <w:left w:val="none" w:sz="0" w:space="0" w:color="auto"/>
            <w:bottom w:val="none" w:sz="0" w:space="0" w:color="auto"/>
            <w:right w:val="none" w:sz="0" w:space="0" w:color="auto"/>
          </w:divBdr>
        </w:div>
        <w:div w:id="2111927253">
          <w:marLeft w:val="0"/>
          <w:marRight w:val="0"/>
          <w:marTop w:val="0"/>
          <w:marBottom w:val="0"/>
          <w:divBdr>
            <w:top w:val="none" w:sz="0" w:space="0" w:color="auto"/>
            <w:left w:val="none" w:sz="0" w:space="0" w:color="auto"/>
            <w:bottom w:val="none" w:sz="0" w:space="0" w:color="auto"/>
            <w:right w:val="none" w:sz="0" w:space="0" w:color="auto"/>
          </w:divBdr>
        </w:div>
        <w:div w:id="1367675189">
          <w:marLeft w:val="0"/>
          <w:marRight w:val="0"/>
          <w:marTop w:val="0"/>
          <w:marBottom w:val="0"/>
          <w:divBdr>
            <w:top w:val="none" w:sz="0" w:space="0" w:color="auto"/>
            <w:left w:val="none" w:sz="0" w:space="0" w:color="auto"/>
            <w:bottom w:val="none" w:sz="0" w:space="0" w:color="auto"/>
            <w:right w:val="none" w:sz="0" w:space="0" w:color="auto"/>
          </w:divBdr>
        </w:div>
        <w:div w:id="503520137">
          <w:marLeft w:val="0"/>
          <w:marRight w:val="0"/>
          <w:marTop w:val="0"/>
          <w:marBottom w:val="0"/>
          <w:divBdr>
            <w:top w:val="none" w:sz="0" w:space="0" w:color="auto"/>
            <w:left w:val="none" w:sz="0" w:space="0" w:color="auto"/>
            <w:bottom w:val="none" w:sz="0" w:space="0" w:color="auto"/>
            <w:right w:val="none" w:sz="0" w:space="0" w:color="auto"/>
          </w:divBdr>
        </w:div>
        <w:div w:id="1584411357">
          <w:marLeft w:val="0"/>
          <w:marRight w:val="0"/>
          <w:marTop w:val="0"/>
          <w:marBottom w:val="0"/>
          <w:divBdr>
            <w:top w:val="none" w:sz="0" w:space="0" w:color="auto"/>
            <w:left w:val="none" w:sz="0" w:space="0" w:color="auto"/>
            <w:bottom w:val="none" w:sz="0" w:space="0" w:color="auto"/>
            <w:right w:val="none" w:sz="0" w:space="0" w:color="auto"/>
          </w:divBdr>
        </w:div>
        <w:div w:id="1683509365">
          <w:marLeft w:val="0"/>
          <w:marRight w:val="0"/>
          <w:marTop w:val="0"/>
          <w:marBottom w:val="0"/>
          <w:divBdr>
            <w:top w:val="none" w:sz="0" w:space="0" w:color="auto"/>
            <w:left w:val="none" w:sz="0" w:space="0" w:color="auto"/>
            <w:bottom w:val="none" w:sz="0" w:space="0" w:color="auto"/>
            <w:right w:val="none" w:sz="0" w:space="0" w:color="auto"/>
          </w:divBdr>
        </w:div>
      </w:divsChild>
    </w:div>
    <w:div w:id="709302991">
      <w:bodyDiv w:val="1"/>
      <w:marLeft w:val="0"/>
      <w:marRight w:val="0"/>
      <w:marTop w:val="0"/>
      <w:marBottom w:val="0"/>
      <w:divBdr>
        <w:top w:val="none" w:sz="0" w:space="0" w:color="auto"/>
        <w:left w:val="none" w:sz="0" w:space="0" w:color="auto"/>
        <w:bottom w:val="none" w:sz="0" w:space="0" w:color="auto"/>
        <w:right w:val="none" w:sz="0" w:space="0" w:color="auto"/>
      </w:divBdr>
      <w:divsChild>
        <w:div w:id="298074586">
          <w:marLeft w:val="0"/>
          <w:marRight w:val="0"/>
          <w:marTop w:val="0"/>
          <w:marBottom w:val="0"/>
          <w:divBdr>
            <w:top w:val="none" w:sz="0" w:space="0" w:color="auto"/>
            <w:left w:val="none" w:sz="0" w:space="0" w:color="auto"/>
            <w:bottom w:val="none" w:sz="0" w:space="0" w:color="auto"/>
            <w:right w:val="none" w:sz="0" w:space="0" w:color="auto"/>
          </w:divBdr>
        </w:div>
        <w:div w:id="1536695699">
          <w:marLeft w:val="0"/>
          <w:marRight w:val="0"/>
          <w:marTop w:val="0"/>
          <w:marBottom w:val="0"/>
          <w:divBdr>
            <w:top w:val="none" w:sz="0" w:space="0" w:color="auto"/>
            <w:left w:val="none" w:sz="0" w:space="0" w:color="auto"/>
            <w:bottom w:val="none" w:sz="0" w:space="0" w:color="auto"/>
            <w:right w:val="none" w:sz="0" w:space="0" w:color="auto"/>
          </w:divBdr>
        </w:div>
      </w:divsChild>
    </w:div>
    <w:div w:id="715854187">
      <w:bodyDiv w:val="1"/>
      <w:marLeft w:val="0"/>
      <w:marRight w:val="0"/>
      <w:marTop w:val="0"/>
      <w:marBottom w:val="0"/>
      <w:divBdr>
        <w:top w:val="none" w:sz="0" w:space="0" w:color="auto"/>
        <w:left w:val="none" w:sz="0" w:space="0" w:color="auto"/>
        <w:bottom w:val="none" w:sz="0" w:space="0" w:color="auto"/>
        <w:right w:val="none" w:sz="0" w:space="0" w:color="auto"/>
      </w:divBdr>
      <w:divsChild>
        <w:div w:id="1133980868">
          <w:marLeft w:val="0"/>
          <w:marRight w:val="0"/>
          <w:marTop w:val="0"/>
          <w:marBottom w:val="0"/>
          <w:divBdr>
            <w:top w:val="none" w:sz="0" w:space="0" w:color="auto"/>
            <w:left w:val="none" w:sz="0" w:space="0" w:color="auto"/>
            <w:bottom w:val="none" w:sz="0" w:space="0" w:color="auto"/>
            <w:right w:val="none" w:sz="0" w:space="0" w:color="auto"/>
          </w:divBdr>
        </w:div>
        <w:div w:id="1734543813">
          <w:marLeft w:val="0"/>
          <w:marRight w:val="0"/>
          <w:marTop w:val="0"/>
          <w:marBottom w:val="0"/>
          <w:divBdr>
            <w:top w:val="none" w:sz="0" w:space="0" w:color="auto"/>
            <w:left w:val="none" w:sz="0" w:space="0" w:color="auto"/>
            <w:bottom w:val="none" w:sz="0" w:space="0" w:color="auto"/>
            <w:right w:val="none" w:sz="0" w:space="0" w:color="auto"/>
          </w:divBdr>
        </w:div>
        <w:div w:id="1265649528">
          <w:marLeft w:val="0"/>
          <w:marRight w:val="0"/>
          <w:marTop w:val="0"/>
          <w:marBottom w:val="0"/>
          <w:divBdr>
            <w:top w:val="none" w:sz="0" w:space="0" w:color="auto"/>
            <w:left w:val="none" w:sz="0" w:space="0" w:color="auto"/>
            <w:bottom w:val="none" w:sz="0" w:space="0" w:color="auto"/>
            <w:right w:val="none" w:sz="0" w:space="0" w:color="auto"/>
          </w:divBdr>
        </w:div>
        <w:div w:id="1609779153">
          <w:marLeft w:val="0"/>
          <w:marRight w:val="0"/>
          <w:marTop w:val="0"/>
          <w:marBottom w:val="0"/>
          <w:divBdr>
            <w:top w:val="none" w:sz="0" w:space="0" w:color="auto"/>
            <w:left w:val="none" w:sz="0" w:space="0" w:color="auto"/>
            <w:bottom w:val="none" w:sz="0" w:space="0" w:color="auto"/>
            <w:right w:val="none" w:sz="0" w:space="0" w:color="auto"/>
          </w:divBdr>
        </w:div>
        <w:div w:id="915557602">
          <w:marLeft w:val="0"/>
          <w:marRight w:val="0"/>
          <w:marTop w:val="0"/>
          <w:marBottom w:val="0"/>
          <w:divBdr>
            <w:top w:val="none" w:sz="0" w:space="0" w:color="auto"/>
            <w:left w:val="none" w:sz="0" w:space="0" w:color="auto"/>
            <w:bottom w:val="none" w:sz="0" w:space="0" w:color="auto"/>
            <w:right w:val="none" w:sz="0" w:space="0" w:color="auto"/>
          </w:divBdr>
        </w:div>
      </w:divsChild>
    </w:div>
    <w:div w:id="721708835">
      <w:bodyDiv w:val="1"/>
      <w:marLeft w:val="0"/>
      <w:marRight w:val="0"/>
      <w:marTop w:val="0"/>
      <w:marBottom w:val="0"/>
      <w:divBdr>
        <w:top w:val="none" w:sz="0" w:space="0" w:color="auto"/>
        <w:left w:val="none" w:sz="0" w:space="0" w:color="auto"/>
        <w:bottom w:val="none" w:sz="0" w:space="0" w:color="auto"/>
        <w:right w:val="none" w:sz="0" w:space="0" w:color="auto"/>
      </w:divBdr>
      <w:divsChild>
        <w:div w:id="335504518">
          <w:marLeft w:val="0"/>
          <w:marRight w:val="0"/>
          <w:marTop w:val="0"/>
          <w:marBottom w:val="0"/>
          <w:divBdr>
            <w:top w:val="none" w:sz="0" w:space="0" w:color="auto"/>
            <w:left w:val="none" w:sz="0" w:space="0" w:color="auto"/>
            <w:bottom w:val="none" w:sz="0" w:space="0" w:color="auto"/>
            <w:right w:val="none" w:sz="0" w:space="0" w:color="auto"/>
          </w:divBdr>
        </w:div>
        <w:div w:id="2122459178">
          <w:marLeft w:val="0"/>
          <w:marRight w:val="0"/>
          <w:marTop w:val="0"/>
          <w:marBottom w:val="0"/>
          <w:divBdr>
            <w:top w:val="none" w:sz="0" w:space="0" w:color="auto"/>
            <w:left w:val="none" w:sz="0" w:space="0" w:color="auto"/>
            <w:bottom w:val="none" w:sz="0" w:space="0" w:color="auto"/>
            <w:right w:val="none" w:sz="0" w:space="0" w:color="auto"/>
          </w:divBdr>
        </w:div>
        <w:div w:id="1676493568">
          <w:marLeft w:val="0"/>
          <w:marRight w:val="0"/>
          <w:marTop w:val="0"/>
          <w:marBottom w:val="0"/>
          <w:divBdr>
            <w:top w:val="none" w:sz="0" w:space="0" w:color="auto"/>
            <w:left w:val="none" w:sz="0" w:space="0" w:color="auto"/>
            <w:bottom w:val="none" w:sz="0" w:space="0" w:color="auto"/>
            <w:right w:val="none" w:sz="0" w:space="0" w:color="auto"/>
          </w:divBdr>
        </w:div>
        <w:div w:id="1778597629">
          <w:marLeft w:val="0"/>
          <w:marRight w:val="0"/>
          <w:marTop w:val="0"/>
          <w:marBottom w:val="0"/>
          <w:divBdr>
            <w:top w:val="none" w:sz="0" w:space="0" w:color="auto"/>
            <w:left w:val="none" w:sz="0" w:space="0" w:color="auto"/>
            <w:bottom w:val="none" w:sz="0" w:space="0" w:color="auto"/>
            <w:right w:val="none" w:sz="0" w:space="0" w:color="auto"/>
          </w:divBdr>
        </w:div>
        <w:div w:id="89593695">
          <w:marLeft w:val="0"/>
          <w:marRight w:val="0"/>
          <w:marTop w:val="0"/>
          <w:marBottom w:val="0"/>
          <w:divBdr>
            <w:top w:val="none" w:sz="0" w:space="0" w:color="auto"/>
            <w:left w:val="none" w:sz="0" w:space="0" w:color="auto"/>
            <w:bottom w:val="none" w:sz="0" w:space="0" w:color="auto"/>
            <w:right w:val="none" w:sz="0" w:space="0" w:color="auto"/>
          </w:divBdr>
        </w:div>
      </w:divsChild>
    </w:div>
    <w:div w:id="750279631">
      <w:bodyDiv w:val="1"/>
      <w:marLeft w:val="0"/>
      <w:marRight w:val="0"/>
      <w:marTop w:val="0"/>
      <w:marBottom w:val="0"/>
      <w:divBdr>
        <w:top w:val="none" w:sz="0" w:space="0" w:color="auto"/>
        <w:left w:val="none" w:sz="0" w:space="0" w:color="auto"/>
        <w:bottom w:val="none" w:sz="0" w:space="0" w:color="auto"/>
        <w:right w:val="none" w:sz="0" w:space="0" w:color="auto"/>
      </w:divBdr>
      <w:divsChild>
        <w:div w:id="177080364">
          <w:marLeft w:val="0"/>
          <w:marRight w:val="0"/>
          <w:marTop w:val="0"/>
          <w:marBottom w:val="0"/>
          <w:divBdr>
            <w:top w:val="none" w:sz="0" w:space="0" w:color="auto"/>
            <w:left w:val="none" w:sz="0" w:space="0" w:color="auto"/>
            <w:bottom w:val="none" w:sz="0" w:space="0" w:color="auto"/>
            <w:right w:val="none" w:sz="0" w:space="0" w:color="auto"/>
          </w:divBdr>
          <w:divsChild>
            <w:div w:id="773355568">
              <w:marLeft w:val="0"/>
              <w:marRight w:val="0"/>
              <w:marTop w:val="0"/>
              <w:marBottom w:val="0"/>
              <w:divBdr>
                <w:top w:val="none" w:sz="0" w:space="0" w:color="auto"/>
                <w:left w:val="none" w:sz="0" w:space="0" w:color="auto"/>
                <w:bottom w:val="none" w:sz="0" w:space="0" w:color="auto"/>
                <w:right w:val="none" w:sz="0" w:space="0" w:color="auto"/>
              </w:divBdr>
            </w:div>
            <w:div w:id="1896744237">
              <w:marLeft w:val="0"/>
              <w:marRight w:val="0"/>
              <w:marTop w:val="0"/>
              <w:marBottom w:val="0"/>
              <w:divBdr>
                <w:top w:val="none" w:sz="0" w:space="0" w:color="auto"/>
                <w:left w:val="none" w:sz="0" w:space="0" w:color="auto"/>
                <w:bottom w:val="none" w:sz="0" w:space="0" w:color="auto"/>
                <w:right w:val="none" w:sz="0" w:space="0" w:color="auto"/>
              </w:divBdr>
            </w:div>
            <w:div w:id="405692390">
              <w:marLeft w:val="0"/>
              <w:marRight w:val="0"/>
              <w:marTop w:val="0"/>
              <w:marBottom w:val="0"/>
              <w:divBdr>
                <w:top w:val="none" w:sz="0" w:space="0" w:color="auto"/>
                <w:left w:val="none" w:sz="0" w:space="0" w:color="auto"/>
                <w:bottom w:val="none" w:sz="0" w:space="0" w:color="auto"/>
                <w:right w:val="none" w:sz="0" w:space="0" w:color="auto"/>
              </w:divBdr>
            </w:div>
            <w:div w:id="587228802">
              <w:marLeft w:val="0"/>
              <w:marRight w:val="0"/>
              <w:marTop w:val="0"/>
              <w:marBottom w:val="0"/>
              <w:divBdr>
                <w:top w:val="none" w:sz="0" w:space="0" w:color="auto"/>
                <w:left w:val="none" w:sz="0" w:space="0" w:color="auto"/>
                <w:bottom w:val="none" w:sz="0" w:space="0" w:color="auto"/>
                <w:right w:val="none" w:sz="0" w:space="0" w:color="auto"/>
              </w:divBdr>
            </w:div>
            <w:div w:id="933317831">
              <w:marLeft w:val="0"/>
              <w:marRight w:val="0"/>
              <w:marTop w:val="0"/>
              <w:marBottom w:val="0"/>
              <w:divBdr>
                <w:top w:val="none" w:sz="0" w:space="0" w:color="auto"/>
                <w:left w:val="none" w:sz="0" w:space="0" w:color="auto"/>
                <w:bottom w:val="none" w:sz="0" w:space="0" w:color="auto"/>
                <w:right w:val="none" w:sz="0" w:space="0" w:color="auto"/>
              </w:divBdr>
            </w:div>
          </w:divsChild>
        </w:div>
        <w:div w:id="114982244">
          <w:marLeft w:val="0"/>
          <w:marRight w:val="0"/>
          <w:marTop w:val="0"/>
          <w:marBottom w:val="0"/>
          <w:divBdr>
            <w:top w:val="none" w:sz="0" w:space="0" w:color="auto"/>
            <w:left w:val="none" w:sz="0" w:space="0" w:color="auto"/>
            <w:bottom w:val="none" w:sz="0" w:space="0" w:color="auto"/>
            <w:right w:val="none" w:sz="0" w:space="0" w:color="auto"/>
          </w:divBdr>
          <w:divsChild>
            <w:div w:id="2050954514">
              <w:marLeft w:val="0"/>
              <w:marRight w:val="0"/>
              <w:marTop w:val="0"/>
              <w:marBottom w:val="0"/>
              <w:divBdr>
                <w:top w:val="none" w:sz="0" w:space="0" w:color="auto"/>
                <w:left w:val="none" w:sz="0" w:space="0" w:color="auto"/>
                <w:bottom w:val="none" w:sz="0" w:space="0" w:color="auto"/>
                <w:right w:val="none" w:sz="0" w:space="0" w:color="auto"/>
              </w:divBdr>
            </w:div>
            <w:div w:id="1621767361">
              <w:marLeft w:val="0"/>
              <w:marRight w:val="0"/>
              <w:marTop w:val="0"/>
              <w:marBottom w:val="0"/>
              <w:divBdr>
                <w:top w:val="none" w:sz="0" w:space="0" w:color="auto"/>
                <w:left w:val="none" w:sz="0" w:space="0" w:color="auto"/>
                <w:bottom w:val="none" w:sz="0" w:space="0" w:color="auto"/>
                <w:right w:val="none" w:sz="0" w:space="0" w:color="auto"/>
              </w:divBdr>
            </w:div>
            <w:div w:id="1739471339">
              <w:marLeft w:val="0"/>
              <w:marRight w:val="0"/>
              <w:marTop w:val="0"/>
              <w:marBottom w:val="0"/>
              <w:divBdr>
                <w:top w:val="none" w:sz="0" w:space="0" w:color="auto"/>
                <w:left w:val="none" w:sz="0" w:space="0" w:color="auto"/>
                <w:bottom w:val="none" w:sz="0" w:space="0" w:color="auto"/>
                <w:right w:val="none" w:sz="0" w:space="0" w:color="auto"/>
              </w:divBdr>
            </w:div>
            <w:div w:id="1938249987">
              <w:marLeft w:val="0"/>
              <w:marRight w:val="0"/>
              <w:marTop w:val="0"/>
              <w:marBottom w:val="0"/>
              <w:divBdr>
                <w:top w:val="none" w:sz="0" w:space="0" w:color="auto"/>
                <w:left w:val="none" w:sz="0" w:space="0" w:color="auto"/>
                <w:bottom w:val="none" w:sz="0" w:space="0" w:color="auto"/>
                <w:right w:val="none" w:sz="0" w:space="0" w:color="auto"/>
              </w:divBdr>
            </w:div>
            <w:div w:id="1606183663">
              <w:marLeft w:val="0"/>
              <w:marRight w:val="0"/>
              <w:marTop w:val="0"/>
              <w:marBottom w:val="0"/>
              <w:divBdr>
                <w:top w:val="none" w:sz="0" w:space="0" w:color="auto"/>
                <w:left w:val="none" w:sz="0" w:space="0" w:color="auto"/>
                <w:bottom w:val="none" w:sz="0" w:space="0" w:color="auto"/>
                <w:right w:val="none" w:sz="0" w:space="0" w:color="auto"/>
              </w:divBdr>
            </w:div>
            <w:div w:id="1981498059">
              <w:marLeft w:val="0"/>
              <w:marRight w:val="0"/>
              <w:marTop w:val="0"/>
              <w:marBottom w:val="0"/>
              <w:divBdr>
                <w:top w:val="none" w:sz="0" w:space="0" w:color="auto"/>
                <w:left w:val="none" w:sz="0" w:space="0" w:color="auto"/>
                <w:bottom w:val="none" w:sz="0" w:space="0" w:color="auto"/>
                <w:right w:val="none" w:sz="0" w:space="0" w:color="auto"/>
              </w:divBdr>
            </w:div>
            <w:div w:id="2099400970">
              <w:marLeft w:val="0"/>
              <w:marRight w:val="0"/>
              <w:marTop w:val="0"/>
              <w:marBottom w:val="0"/>
              <w:divBdr>
                <w:top w:val="none" w:sz="0" w:space="0" w:color="auto"/>
                <w:left w:val="none" w:sz="0" w:space="0" w:color="auto"/>
                <w:bottom w:val="none" w:sz="0" w:space="0" w:color="auto"/>
                <w:right w:val="none" w:sz="0" w:space="0" w:color="auto"/>
              </w:divBdr>
            </w:div>
          </w:divsChild>
        </w:div>
        <w:div w:id="1007947196">
          <w:marLeft w:val="0"/>
          <w:marRight w:val="0"/>
          <w:marTop w:val="0"/>
          <w:marBottom w:val="0"/>
          <w:divBdr>
            <w:top w:val="none" w:sz="0" w:space="0" w:color="auto"/>
            <w:left w:val="none" w:sz="0" w:space="0" w:color="auto"/>
            <w:bottom w:val="none" w:sz="0" w:space="0" w:color="auto"/>
            <w:right w:val="none" w:sz="0" w:space="0" w:color="auto"/>
          </w:divBdr>
          <w:divsChild>
            <w:div w:id="224146545">
              <w:marLeft w:val="0"/>
              <w:marRight w:val="0"/>
              <w:marTop w:val="0"/>
              <w:marBottom w:val="0"/>
              <w:divBdr>
                <w:top w:val="none" w:sz="0" w:space="0" w:color="auto"/>
                <w:left w:val="none" w:sz="0" w:space="0" w:color="auto"/>
                <w:bottom w:val="none" w:sz="0" w:space="0" w:color="auto"/>
                <w:right w:val="none" w:sz="0" w:space="0" w:color="auto"/>
              </w:divBdr>
            </w:div>
            <w:div w:id="2070617148">
              <w:marLeft w:val="0"/>
              <w:marRight w:val="0"/>
              <w:marTop w:val="0"/>
              <w:marBottom w:val="0"/>
              <w:divBdr>
                <w:top w:val="none" w:sz="0" w:space="0" w:color="auto"/>
                <w:left w:val="none" w:sz="0" w:space="0" w:color="auto"/>
                <w:bottom w:val="none" w:sz="0" w:space="0" w:color="auto"/>
                <w:right w:val="none" w:sz="0" w:space="0" w:color="auto"/>
              </w:divBdr>
            </w:div>
          </w:divsChild>
        </w:div>
        <w:div w:id="1194535517">
          <w:marLeft w:val="0"/>
          <w:marRight w:val="0"/>
          <w:marTop w:val="0"/>
          <w:marBottom w:val="0"/>
          <w:divBdr>
            <w:top w:val="none" w:sz="0" w:space="0" w:color="auto"/>
            <w:left w:val="none" w:sz="0" w:space="0" w:color="auto"/>
            <w:bottom w:val="none" w:sz="0" w:space="0" w:color="auto"/>
            <w:right w:val="none" w:sz="0" w:space="0" w:color="auto"/>
          </w:divBdr>
          <w:divsChild>
            <w:div w:id="1959488896">
              <w:marLeft w:val="0"/>
              <w:marRight w:val="0"/>
              <w:marTop w:val="0"/>
              <w:marBottom w:val="0"/>
              <w:divBdr>
                <w:top w:val="none" w:sz="0" w:space="0" w:color="auto"/>
                <w:left w:val="none" w:sz="0" w:space="0" w:color="auto"/>
                <w:bottom w:val="none" w:sz="0" w:space="0" w:color="auto"/>
                <w:right w:val="none" w:sz="0" w:space="0" w:color="auto"/>
              </w:divBdr>
            </w:div>
            <w:div w:id="1560704506">
              <w:marLeft w:val="0"/>
              <w:marRight w:val="0"/>
              <w:marTop w:val="0"/>
              <w:marBottom w:val="0"/>
              <w:divBdr>
                <w:top w:val="none" w:sz="0" w:space="0" w:color="auto"/>
                <w:left w:val="none" w:sz="0" w:space="0" w:color="auto"/>
                <w:bottom w:val="none" w:sz="0" w:space="0" w:color="auto"/>
                <w:right w:val="none" w:sz="0" w:space="0" w:color="auto"/>
              </w:divBdr>
            </w:div>
            <w:div w:id="5922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4644">
      <w:bodyDiv w:val="1"/>
      <w:marLeft w:val="0"/>
      <w:marRight w:val="0"/>
      <w:marTop w:val="0"/>
      <w:marBottom w:val="0"/>
      <w:divBdr>
        <w:top w:val="none" w:sz="0" w:space="0" w:color="auto"/>
        <w:left w:val="none" w:sz="0" w:space="0" w:color="auto"/>
        <w:bottom w:val="none" w:sz="0" w:space="0" w:color="auto"/>
        <w:right w:val="none" w:sz="0" w:space="0" w:color="auto"/>
      </w:divBdr>
      <w:divsChild>
        <w:div w:id="581374374">
          <w:marLeft w:val="0"/>
          <w:marRight w:val="0"/>
          <w:marTop w:val="0"/>
          <w:marBottom w:val="0"/>
          <w:divBdr>
            <w:top w:val="none" w:sz="0" w:space="0" w:color="auto"/>
            <w:left w:val="none" w:sz="0" w:space="0" w:color="auto"/>
            <w:bottom w:val="none" w:sz="0" w:space="0" w:color="auto"/>
            <w:right w:val="none" w:sz="0" w:space="0" w:color="auto"/>
          </w:divBdr>
          <w:divsChild>
            <w:div w:id="527841715">
              <w:marLeft w:val="0"/>
              <w:marRight w:val="0"/>
              <w:marTop w:val="0"/>
              <w:marBottom w:val="0"/>
              <w:divBdr>
                <w:top w:val="none" w:sz="0" w:space="0" w:color="auto"/>
                <w:left w:val="none" w:sz="0" w:space="0" w:color="auto"/>
                <w:bottom w:val="none" w:sz="0" w:space="0" w:color="auto"/>
                <w:right w:val="none" w:sz="0" w:space="0" w:color="auto"/>
              </w:divBdr>
              <w:divsChild>
                <w:div w:id="897981393">
                  <w:marLeft w:val="0"/>
                  <w:marRight w:val="0"/>
                  <w:marTop w:val="0"/>
                  <w:marBottom w:val="0"/>
                  <w:divBdr>
                    <w:top w:val="none" w:sz="0" w:space="0" w:color="auto"/>
                    <w:left w:val="none" w:sz="0" w:space="0" w:color="auto"/>
                    <w:bottom w:val="none" w:sz="0" w:space="0" w:color="auto"/>
                    <w:right w:val="none" w:sz="0" w:space="0" w:color="auto"/>
                  </w:divBdr>
                  <w:divsChild>
                    <w:div w:id="827477396">
                      <w:marLeft w:val="0"/>
                      <w:marRight w:val="0"/>
                      <w:marTop w:val="0"/>
                      <w:marBottom w:val="0"/>
                      <w:divBdr>
                        <w:top w:val="none" w:sz="0" w:space="0" w:color="auto"/>
                        <w:left w:val="none" w:sz="0" w:space="0" w:color="auto"/>
                        <w:bottom w:val="none" w:sz="0" w:space="0" w:color="auto"/>
                        <w:right w:val="none" w:sz="0" w:space="0" w:color="auto"/>
                      </w:divBdr>
                      <w:divsChild>
                        <w:div w:id="181286573">
                          <w:marLeft w:val="0"/>
                          <w:marRight w:val="0"/>
                          <w:marTop w:val="0"/>
                          <w:marBottom w:val="0"/>
                          <w:divBdr>
                            <w:top w:val="none" w:sz="0" w:space="0" w:color="auto"/>
                            <w:left w:val="none" w:sz="0" w:space="0" w:color="auto"/>
                            <w:bottom w:val="none" w:sz="0" w:space="0" w:color="auto"/>
                            <w:right w:val="none" w:sz="0" w:space="0" w:color="auto"/>
                          </w:divBdr>
                          <w:divsChild>
                            <w:div w:id="10834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4098">
      <w:bodyDiv w:val="1"/>
      <w:marLeft w:val="0"/>
      <w:marRight w:val="0"/>
      <w:marTop w:val="0"/>
      <w:marBottom w:val="0"/>
      <w:divBdr>
        <w:top w:val="none" w:sz="0" w:space="0" w:color="auto"/>
        <w:left w:val="none" w:sz="0" w:space="0" w:color="auto"/>
        <w:bottom w:val="none" w:sz="0" w:space="0" w:color="auto"/>
        <w:right w:val="none" w:sz="0" w:space="0" w:color="auto"/>
      </w:divBdr>
      <w:divsChild>
        <w:div w:id="1185022064">
          <w:marLeft w:val="0"/>
          <w:marRight w:val="0"/>
          <w:marTop w:val="0"/>
          <w:marBottom w:val="0"/>
          <w:divBdr>
            <w:top w:val="none" w:sz="0" w:space="0" w:color="auto"/>
            <w:left w:val="none" w:sz="0" w:space="0" w:color="auto"/>
            <w:bottom w:val="none" w:sz="0" w:space="0" w:color="auto"/>
            <w:right w:val="none" w:sz="0" w:space="0" w:color="auto"/>
          </w:divBdr>
        </w:div>
        <w:div w:id="1660502071">
          <w:marLeft w:val="0"/>
          <w:marRight w:val="0"/>
          <w:marTop w:val="0"/>
          <w:marBottom w:val="0"/>
          <w:divBdr>
            <w:top w:val="none" w:sz="0" w:space="0" w:color="auto"/>
            <w:left w:val="none" w:sz="0" w:space="0" w:color="auto"/>
            <w:bottom w:val="none" w:sz="0" w:space="0" w:color="auto"/>
            <w:right w:val="none" w:sz="0" w:space="0" w:color="auto"/>
          </w:divBdr>
        </w:div>
        <w:div w:id="269817963">
          <w:marLeft w:val="0"/>
          <w:marRight w:val="0"/>
          <w:marTop w:val="0"/>
          <w:marBottom w:val="0"/>
          <w:divBdr>
            <w:top w:val="none" w:sz="0" w:space="0" w:color="auto"/>
            <w:left w:val="none" w:sz="0" w:space="0" w:color="auto"/>
            <w:bottom w:val="none" w:sz="0" w:space="0" w:color="auto"/>
            <w:right w:val="none" w:sz="0" w:space="0" w:color="auto"/>
          </w:divBdr>
        </w:div>
        <w:div w:id="1313680405">
          <w:marLeft w:val="0"/>
          <w:marRight w:val="0"/>
          <w:marTop w:val="0"/>
          <w:marBottom w:val="0"/>
          <w:divBdr>
            <w:top w:val="none" w:sz="0" w:space="0" w:color="auto"/>
            <w:left w:val="none" w:sz="0" w:space="0" w:color="auto"/>
            <w:bottom w:val="none" w:sz="0" w:space="0" w:color="auto"/>
            <w:right w:val="none" w:sz="0" w:space="0" w:color="auto"/>
          </w:divBdr>
        </w:div>
      </w:divsChild>
    </w:div>
    <w:div w:id="923224632">
      <w:bodyDiv w:val="1"/>
      <w:marLeft w:val="0"/>
      <w:marRight w:val="0"/>
      <w:marTop w:val="0"/>
      <w:marBottom w:val="0"/>
      <w:divBdr>
        <w:top w:val="none" w:sz="0" w:space="0" w:color="auto"/>
        <w:left w:val="none" w:sz="0" w:space="0" w:color="auto"/>
        <w:bottom w:val="none" w:sz="0" w:space="0" w:color="auto"/>
        <w:right w:val="none" w:sz="0" w:space="0" w:color="auto"/>
      </w:divBdr>
      <w:divsChild>
        <w:div w:id="1419329723">
          <w:marLeft w:val="0"/>
          <w:marRight w:val="0"/>
          <w:marTop w:val="0"/>
          <w:marBottom w:val="0"/>
          <w:divBdr>
            <w:top w:val="none" w:sz="0" w:space="0" w:color="auto"/>
            <w:left w:val="none" w:sz="0" w:space="0" w:color="auto"/>
            <w:bottom w:val="none" w:sz="0" w:space="0" w:color="auto"/>
            <w:right w:val="none" w:sz="0" w:space="0" w:color="auto"/>
          </w:divBdr>
        </w:div>
        <w:div w:id="1366711247">
          <w:marLeft w:val="0"/>
          <w:marRight w:val="0"/>
          <w:marTop w:val="0"/>
          <w:marBottom w:val="0"/>
          <w:divBdr>
            <w:top w:val="none" w:sz="0" w:space="0" w:color="auto"/>
            <w:left w:val="none" w:sz="0" w:space="0" w:color="auto"/>
            <w:bottom w:val="none" w:sz="0" w:space="0" w:color="auto"/>
            <w:right w:val="none" w:sz="0" w:space="0" w:color="auto"/>
          </w:divBdr>
        </w:div>
        <w:div w:id="749959805">
          <w:marLeft w:val="0"/>
          <w:marRight w:val="0"/>
          <w:marTop w:val="0"/>
          <w:marBottom w:val="0"/>
          <w:divBdr>
            <w:top w:val="none" w:sz="0" w:space="0" w:color="auto"/>
            <w:left w:val="none" w:sz="0" w:space="0" w:color="auto"/>
            <w:bottom w:val="none" w:sz="0" w:space="0" w:color="auto"/>
            <w:right w:val="none" w:sz="0" w:space="0" w:color="auto"/>
          </w:divBdr>
        </w:div>
        <w:div w:id="1048460040">
          <w:marLeft w:val="0"/>
          <w:marRight w:val="0"/>
          <w:marTop w:val="0"/>
          <w:marBottom w:val="0"/>
          <w:divBdr>
            <w:top w:val="none" w:sz="0" w:space="0" w:color="auto"/>
            <w:left w:val="none" w:sz="0" w:space="0" w:color="auto"/>
            <w:bottom w:val="none" w:sz="0" w:space="0" w:color="auto"/>
            <w:right w:val="none" w:sz="0" w:space="0" w:color="auto"/>
          </w:divBdr>
        </w:div>
      </w:divsChild>
    </w:div>
    <w:div w:id="951128198">
      <w:bodyDiv w:val="1"/>
      <w:marLeft w:val="0"/>
      <w:marRight w:val="0"/>
      <w:marTop w:val="0"/>
      <w:marBottom w:val="0"/>
      <w:divBdr>
        <w:top w:val="none" w:sz="0" w:space="0" w:color="auto"/>
        <w:left w:val="none" w:sz="0" w:space="0" w:color="auto"/>
        <w:bottom w:val="none" w:sz="0" w:space="0" w:color="auto"/>
        <w:right w:val="none" w:sz="0" w:space="0" w:color="auto"/>
      </w:divBdr>
      <w:divsChild>
        <w:div w:id="2031763067">
          <w:marLeft w:val="0"/>
          <w:marRight w:val="0"/>
          <w:marTop w:val="0"/>
          <w:marBottom w:val="0"/>
          <w:divBdr>
            <w:top w:val="none" w:sz="0" w:space="0" w:color="auto"/>
            <w:left w:val="none" w:sz="0" w:space="0" w:color="auto"/>
            <w:bottom w:val="none" w:sz="0" w:space="0" w:color="auto"/>
            <w:right w:val="none" w:sz="0" w:space="0" w:color="auto"/>
          </w:divBdr>
        </w:div>
        <w:div w:id="1078985806">
          <w:marLeft w:val="0"/>
          <w:marRight w:val="0"/>
          <w:marTop w:val="0"/>
          <w:marBottom w:val="450"/>
          <w:divBdr>
            <w:top w:val="none" w:sz="0" w:space="0" w:color="auto"/>
            <w:left w:val="none" w:sz="0" w:space="0" w:color="auto"/>
            <w:bottom w:val="none" w:sz="0" w:space="0" w:color="auto"/>
            <w:right w:val="none" w:sz="0" w:space="0" w:color="auto"/>
          </w:divBdr>
          <w:divsChild>
            <w:div w:id="1970551855">
              <w:marLeft w:val="0"/>
              <w:marRight w:val="0"/>
              <w:marTop w:val="0"/>
              <w:marBottom w:val="0"/>
              <w:divBdr>
                <w:top w:val="none" w:sz="0" w:space="0" w:color="auto"/>
                <w:left w:val="none" w:sz="0" w:space="0" w:color="auto"/>
                <w:bottom w:val="none" w:sz="0" w:space="0" w:color="auto"/>
                <w:right w:val="none" w:sz="0" w:space="0" w:color="auto"/>
              </w:divBdr>
              <w:divsChild>
                <w:div w:id="554969351">
                  <w:marLeft w:val="0"/>
                  <w:marRight w:val="0"/>
                  <w:marTop w:val="0"/>
                  <w:marBottom w:val="0"/>
                  <w:divBdr>
                    <w:top w:val="none" w:sz="0" w:space="0" w:color="DDDDDD"/>
                    <w:left w:val="none" w:sz="0" w:space="0" w:color="DDDDDD"/>
                    <w:bottom w:val="none" w:sz="0" w:space="0" w:color="auto"/>
                    <w:right w:val="none" w:sz="0" w:space="0" w:color="DDDDDD"/>
                  </w:divBdr>
                </w:div>
              </w:divsChild>
            </w:div>
            <w:div w:id="319702436">
              <w:marLeft w:val="0"/>
              <w:marRight w:val="0"/>
              <w:marTop w:val="0"/>
              <w:marBottom w:val="0"/>
              <w:divBdr>
                <w:top w:val="none" w:sz="0" w:space="0" w:color="auto"/>
                <w:left w:val="none" w:sz="0" w:space="0" w:color="auto"/>
                <w:bottom w:val="none" w:sz="0" w:space="0" w:color="auto"/>
                <w:right w:val="none" w:sz="0" w:space="0" w:color="auto"/>
              </w:divBdr>
              <w:divsChild>
                <w:div w:id="5332302">
                  <w:marLeft w:val="0"/>
                  <w:marRight w:val="0"/>
                  <w:marTop w:val="0"/>
                  <w:marBottom w:val="0"/>
                  <w:divBdr>
                    <w:top w:val="none" w:sz="0" w:space="0" w:color="DDDDDD"/>
                    <w:left w:val="none" w:sz="0" w:space="0" w:color="DDDDDD"/>
                    <w:bottom w:val="none" w:sz="0" w:space="0" w:color="auto"/>
                    <w:right w:val="none" w:sz="0" w:space="0" w:color="DDDDDD"/>
                  </w:divBdr>
                </w:div>
                <w:div w:id="1872182513">
                  <w:marLeft w:val="0"/>
                  <w:marRight w:val="0"/>
                  <w:marTop w:val="0"/>
                  <w:marBottom w:val="0"/>
                  <w:divBdr>
                    <w:top w:val="none" w:sz="0" w:space="0" w:color="auto"/>
                    <w:left w:val="none" w:sz="0" w:space="0" w:color="auto"/>
                    <w:bottom w:val="none" w:sz="0" w:space="0" w:color="auto"/>
                    <w:right w:val="none" w:sz="0" w:space="0" w:color="auto"/>
                  </w:divBdr>
                  <w:divsChild>
                    <w:div w:id="2029940807">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 w:id="987518010">
      <w:bodyDiv w:val="1"/>
      <w:marLeft w:val="0"/>
      <w:marRight w:val="0"/>
      <w:marTop w:val="0"/>
      <w:marBottom w:val="0"/>
      <w:divBdr>
        <w:top w:val="none" w:sz="0" w:space="0" w:color="auto"/>
        <w:left w:val="none" w:sz="0" w:space="0" w:color="auto"/>
        <w:bottom w:val="none" w:sz="0" w:space="0" w:color="auto"/>
        <w:right w:val="none" w:sz="0" w:space="0" w:color="auto"/>
      </w:divBdr>
    </w:div>
    <w:div w:id="1031148835">
      <w:bodyDiv w:val="1"/>
      <w:marLeft w:val="0"/>
      <w:marRight w:val="0"/>
      <w:marTop w:val="0"/>
      <w:marBottom w:val="0"/>
      <w:divBdr>
        <w:top w:val="none" w:sz="0" w:space="0" w:color="auto"/>
        <w:left w:val="none" w:sz="0" w:space="0" w:color="auto"/>
        <w:bottom w:val="none" w:sz="0" w:space="0" w:color="auto"/>
        <w:right w:val="none" w:sz="0" w:space="0" w:color="auto"/>
      </w:divBdr>
    </w:div>
    <w:div w:id="1049114166">
      <w:bodyDiv w:val="1"/>
      <w:marLeft w:val="0"/>
      <w:marRight w:val="0"/>
      <w:marTop w:val="0"/>
      <w:marBottom w:val="0"/>
      <w:divBdr>
        <w:top w:val="none" w:sz="0" w:space="0" w:color="auto"/>
        <w:left w:val="none" w:sz="0" w:space="0" w:color="auto"/>
        <w:bottom w:val="none" w:sz="0" w:space="0" w:color="auto"/>
        <w:right w:val="none" w:sz="0" w:space="0" w:color="auto"/>
      </w:divBdr>
      <w:divsChild>
        <w:div w:id="375660607">
          <w:marLeft w:val="0"/>
          <w:marRight w:val="0"/>
          <w:marTop w:val="0"/>
          <w:marBottom w:val="0"/>
          <w:divBdr>
            <w:top w:val="none" w:sz="0" w:space="0" w:color="auto"/>
            <w:left w:val="none" w:sz="0" w:space="0" w:color="auto"/>
            <w:bottom w:val="none" w:sz="0" w:space="0" w:color="auto"/>
            <w:right w:val="none" w:sz="0" w:space="0" w:color="auto"/>
          </w:divBdr>
        </w:div>
        <w:div w:id="642272276">
          <w:marLeft w:val="0"/>
          <w:marRight w:val="0"/>
          <w:marTop w:val="0"/>
          <w:marBottom w:val="0"/>
          <w:divBdr>
            <w:top w:val="none" w:sz="0" w:space="0" w:color="auto"/>
            <w:left w:val="none" w:sz="0" w:space="0" w:color="auto"/>
            <w:bottom w:val="none" w:sz="0" w:space="0" w:color="auto"/>
            <w:right w:val="none" w:sz="0" w:space="0" w:color="auto"/>
          </w:divBdr>
        </w:div>
        <w:div w:id="821235681">
          <w:marLeft w:val="0"/>
          <w:marRight w:val="0"/>
          <w:marTop w:val="0"/>
          <w:marBottom w:val="0"/>
          <w:divBdr>
            <w:top w:val="none" w:sz="0" w:space="0" w:color="auto"/>
            <w:left w:val="none" w:sz="0" w:space="0" w:color="auto"/>
            <w:bottom w:val="none" w:sz="0" w:space="0" w:color="auto"/>
            <w:right w:val="none" w:sz="0" w:space="0" w:color="auto"/>
          </w:divBdr>
        </w:div>
      </w:divsChild>
    </w:div>
    <w:div w:id="1079794354">
      <w:bodyDiv w:val="1"/>
      <w:marLeft w:val="0"/>
      <w:marRight w:val="0"/>
      <w:marTop w:val="0"/>
      <w:marBottom w:val="0"/>
      <w:divBdr>
        <w:top w:val="none" w:sz="0" w:space="0" w:color="auto"/>
        <w:left w:val="none" w:sz="0" w:space="0" w:color="auto"/>
        <w:bottom w:val="none" w:sz="0" w:space="0" w:color="auto"/>
        <w:right w:val="none" w:sz="0" w:space="0" w:color="auto"/>
      </w:divBdr>
    </w:div>
    <w:div w:id="1088189437">
      <w:bodyDiv w:val="1"/>
      <w:marLeft w:val="0"/>
      <w:marRight w:val="0"/>
      <w:marTop w:val="0"/>
      <w:marBottom w:val="0"/>
      <w:divBdr>
        <w:top w:val="none" w:sz="0" w:space="0" w:color="auto"/>
        <w:left w:val="none" w:sz="0" w:space="0" w:color="auto"/>
        <w:bottom w:val="none" w:sz="0" w:space="0" w:color="auto"/>
        <w:right w:val="none" w:sz="0" w:space="0" w:color="auto"/>
      </w:divBdr>
    </w:div>
    <w:div w:id="1120076088">
      <w:bodyDiv w:val="1"/>
      <w:marLeft w:val="0"/>
      <w:marRight w:val="0"/>
      <w:marTop w:val="0"/>
      <w:marBottom w:val="0"/>
      <w:divBdr>
        <w:top w:val="none" w:sz="0" w:space="0" w:color="auto"/>
        <w:left w:val="none" w:sz="0" w:space="0" w:color="auto"/>
        <w:bottom w:val="none" w:sz="0" w:space="0" w:color="auto"/>
        <w:right w:val="none" w:sz="0" w:space="0" w:color="auto"/>
      </w:divBdr>
      <w:divsChild>
        <w:div w:id="750851578">
          <w:marLeft w:val="0"/>
          <w:marRight w:val="0"/>
          <w:marTop w:val="0"/>
          <w:marBottom w:val="0"/>
          <w:divBdr>
            <w:top w:val="none" w:sz="0" w:space="0" w:color="auto"/>
            <w:left w:val="none" w:sz="0" w:space="0" w:color="auto"/>
            <w:bottom w:val="none" w:sz="0" w:space="0" w:color="auto"/>
            <w:right w:val="none" w:sz="0" w:space="0" w:color="auto"/>
          </w:divBdr>
        </w:div>
        <w:div w:id="873272556">
          <w:marLeft w:val="0"/>
          <w:marRight w:val="0"/>
          <w:marTop w:val="0"/>
          <w:marBottom w:val="0"/>
          <w:divBdr>
            <w:top w:val="none" w:sz="0" w:space="0" w:color="auto"/>
            <w:left w:val="none" w:sz="0" w:space="0" w:color="auto"/>
            <w:bottom w:val="none" w:sz="0" w:space="0" w:color="auto"/>
            <w:right w:val="none" w:sz="0" w:space="0" w:color="auto"/>
          </w:divBdr>
        </w:div>
      </w:divsChild>
    </w:div>
    <w:div w:id="1172066702">
      <w:bodyDiv w:val="1"/>
      <w:marLeft w:val="0"/>
      <w:marRight w:val="0"/>
      <w:marTop w:val="0"/>
      <w:marBottom w:val="0"/>
      <w:divBdr>
        <w:top w:val="none" w:sz="0" w:space="0" w:color="auto"/>
        <w:left w:val="none" w:sz="0" w:space="0" w:color="auto"/>
        <w:bottom w:val="none" w:sz="0" w:space="0" w:color="auto"/>
        <w:right w:val="none" w:sz="0" w:space="0" w:color="auto"/>
      </w:divBdr>
      <w:divsChild>
        <w:div w:id="1747452848">
          <w:marLeft w:val="0"/>
          <w:marRight w:val="0"/>
          <w:marTop w:val="0"/>
          <w:marBottom w:val="0"/>
          <w:divBdr>
            <w:top w:val="none" w:sz="0" w:space="0" w:color="auto"/>
            <w:left w:val="none" w:sz="0" w:space="0" w:color="auto"/>
            <w:bottom w:val="none" w:sz="0" w:space="0" w:color="auto"/>
            <w:right w:val="none" w:sz="0" w:space="0" w:color="auto"/>
          </w:divBdr>
        </w:div>
        <w:div w:id="1860314352">
          <w:marLeft w:val="0"/>
          <w:marRight w:val="0"/>
          <w:marTop w:val="0"/>
          <w:marBottom w:val="0"/>
          <w:divBdr>
            <w:top w:val="none" w:sz="0" w:space="0" w:color="auto"/>
            <w:left w:val="none" w:sz="0" w:space="0" w:color="auto"/>
            <w:bottom w:val="none" w:sz="0" w:space="0" w:color="auto"/>
            <w:right w:val="none" w:sz="0" w:space="0" w:color="auto"/>
          </w:divBdr>
        </w:div>
        <w:div w:id="456797816">
          <w:marLeft w:val="0"/>
          <w:marRight w:val="0"/>
          <w:marTop w:val="0"/>
          <w:marBottom w:val="0"/>
          <w:divBdr>
            <w:top w:val="none" w:sz="0" w:space="0" w:color="auto"/>
            <w:left w:val="none" w:sz="0" w:space="0" w:color="auto"/>
            <w:bottom w:val="none" w:sz="0" w:space="0" w:color="auto"/>
            <w:right w:val="none" w:sz="0" w:space="0" w:color="auto"/>
          </w:divBdr>
        </w:div>
      </w:divsChild>
    </w:div>
    <w:div w:id="1197306147">
      <w:bodyDiv w:val="1"/>
      <w:marLeft w:val="0"/>
      <w:marRight w:val="0"/>
      <w:marTop w:val="0"/>
      <w:marBottom w:val="0"/>
      <w:divBdr>
        <w:top w:val="none" w:sz="0" w:space="0" w:color="auto"/>
        <w:left w:val="none" w:sz="0" w:space="0" w:color="auto"/>
        <w:bottom w:val="none" w:sz="0" w:space="0" w:color="auto"/>
        <w:right w:val="none" w:sz="0" w:space="0" w:color="auto"/>
      </w:divBdr>
    </w:div>
    <w:div w:id="1223176219">
      <w:bodyDiv w:val="1"/>
      <w:marLeft w:val="0"/>
      <w:marRight w:val="0"/>
      <w:marTop w:val="0"/>
      <w:marBottom w:val="0"/>
      <w:divBdr>
        <w:top w:val="none" w:sz="0" w:space="0" w:color="auto"/>
        <w:left w:val="none" w:sz="0" w:space="0" w:color="auto"/>
        <w:bottom w:val="none" w:sz="0" w:space="0" w:color="auto"/>
        <w:right w:val="none" w:sz="0" w:space="0" w:color="auto"/>
      </w:divBdr>
    </w:div>
    <w:div w:id="1253587773">
      <w:bodyDiv w:val="1"/>
      <w:marLeft w:val="0"/>
      <w:marRight w:val="0"/>
      <w:marTop w:val="0"/>
      <w:marBottom w:val="0"/>
      <w:divBdr>
        <w:top w:val="none" w:sz="0" w:space="0" w:color="auto"/>
        <w:left w:val="none" w:sz="0" w:space="0" w:color="auto"/>
        <w:bottom w:val="none" w:sz="0" w:space="0" w:color="auto"/>
        <w:right w:val="none" w:sz="0" w:space="0" w:color="auto"/>
      </w:divBdr>
      <w:divsChild>
        <w:div w:id="1781798581">
          <w:marLeft w:val="0"/>
          <w:marRight w:val="0"/>
          <w:marTop w:val="0"/>
          <w:marBottom w:val="0"/>
          <w:divBdr>
            <w:top w:val="none" w:sz="0" w:space="0" w:color="auto"/>
            <w:left w:val="none" w:sz="0" w:space="0" w:color="auto"/>
            <w:bottom w:val="none" w:sz="0" w:space="0" w:color="auto"/>
            <w:right w:val="none" w:sz="0" w:space="0" w:color="auto"/>
          </w:divBdr>
        </w:div>
        <w:div w:id="999769996">
          <w:marLeft w:val="0"/>
          <w:marRight w:val="0"/>
          <w:marTop w:val="0"/>
          <w:marBottom w:val="0"/>
          <w:divBdr>
            <w:top w:val="none" w:sz="0" w:space="0" w:color="auto"/>
            <w:left w:val="none" w:sz="0" w:space="0" w:color="auto"/>
            <w:bottom w:val="none" w:sz="0" w:space="0" w:color="auto"/>
            <w:right w:val="none" w:sz="0" w:space="0" w:color="auto"/>
          </w:divBdr>
        </w:div>
        <w:div w:id="1426145325">
          <w:marLeft w:val="0"/>
          <w:marRight w:val="0"/>
          <w:marTop w:val="0"/>
          <w:marBottom w:val="0"/>
          <w:divBdr>
            <w:top w:val="none" w:sz="0" w:space="0" w:color="auto"/>
            <w:left w:val="none" w:sz="0" w:space="0" w:color="auto"/>
            <w:bottom w:val="none" w:sz="0" w:space="0" w:color="auto"/>
            <w:right w:val="none" w:sz="0" w:space="0" w:color="auto"/>
          </w:divBdr>
        </w:div>
        <w:div w:id="334460020">
          <w:marLeft w:val="0"/>
          <w:marRight w:val="0"/>
          <w:marTop w:val="0"/>
          <w:marBottom w:val="0"/>
          <w:divBdr>
            <w:top w:val="none" w:sz="0" w:space="0" w:color="auto"/>
            <w:left w:val="none" w:sz="0" w:space="0" w:color="auto"/>
            <w:bottom w:val="none" w:sz="0" w:space="0" w:color="auto"/>
            <w:right w:val="none" w:sz="0" w:space="0" w:color="auto"/>
          </w:divBdr>
        </w:div>
        <w:div w:id="730346271">
          <w:marLeft w:val="0"/>
          <w:marRight w:val="0"/>
          <w:marTop w:val="0"/>
          <w:marBottom w:val="0"/>
          <w:divBdr>
            <w:top w:val="none" w:sz="0" w:space="0" w:color="auto"/>
            <w:left w:val="none" w:sz="0" w:space="0" w:color="auto"/>
            <w:bottom w:val="none" w:sz="0" w:space="0" w:color="auto"/>
            <w:right w:val="none" w:sz="0" w:space="0" w:color="auto"/>
          </w:divBdr>
        </w:div>
      </w:divsChild>
    </w:div>
    <w:div w:id="1253660796">
      <w:bodyDiv w:val="1"/>
      <w:marLeft w:val="0"/>
      <w:marRight w:val="0"/>
      <w:marTop w:val="0"/>
      <w:marBottom w:val="0"/>
      <w:divBdr>
        <w:top w:val="none" w:sz="0" w:space="0" w:color="auto"/>
        <w:left w:val="none" w:sz="0" w:space="0" w:color="auto"/>
        <w:bottom w:val="none" w:sz="0" w:space="0" w:color="auto"/>
        <w:right w:val="none" w:sz="0" w:space="0" w:color="auto"/>
      </w:divBdr>
      <w:divsChild>
        <w:div w:id="783424563">
          <w:marLeft w:val="0"/>
          <w:marRight w:val="0"/>
          <w:marTop w:val="0"/>
          <w:marBottom w:val="0"/>
          <w:divBdr>
            <w:top w:val="none" w:sz="0" w:space="0" w:color="auto"/>
            <w:left w:val="none" w:sz="0" w:space="0" w:color="auto"/>
            <w:bottom w:val="none" w:sz="0" w:space="0" w:color="auto"/>
            <w:right w:val="none" w:sz="0" w:space="0" w:color="auto"/>
          </w:divBdr>
        </w:div>
        <w:div w:id="1644196718">
          <w:marLeft w:val="0"/>
          <w:marRight w:val="0"/>
          <w:marTop w:val="0"/>
          <w:marBottom w:val="0"/>
          <w:divBdr>
            <w:top w:val="none" w:sz="0" w:space="0" w:color="auto"/>
            <w:left w:val="none" w:sz="0" w:space="0" w:color="auto"/>
            <w:bottom w:val="none" w:sz="0" w:space="0" w:color="auto"/>
            <w:right w:val="none" w:sz="0" w:space="0" w:color="auto"/>
          </w:divBdr>
        </w:div>
        <w:div w:id="2106075536">
          <w:marLeft w:val="0"/>
          <w:marRight w:val="0"/>
          <w:marTop w:val="0"/>
          <w:marBottom w:val="0"/>
          <w:divBdr>
            <w:top w:val="none" w:sz="0" w:space="0" w:color="auto"/>
            <w:left w:val="none" w:sz="0" w:space="0" w:color="auto"/>
            <w:bottom w:val="none" w:sz="0" w:space="0" w:color="auto"/>
            <w:right w:val="none" w:sz="0" w:space="0" w:color="auto"/>
          </w:divBdr>
        </w:div>
        <w:div w:id="417606447">
          <w:marLeft w:val="0"/>
          <w:marRight w:val="0"/>
          <w:marTop w:val="0"/>
          <w:marBottom w:val="0"/>
          <w:divBdr>
            <w:top w:val="none" w:sz="0" w:space="0" w:color="auto"/>
            <w:left w:val="none" w:sz="0" w:space="0" w:color="auto"/>
            <w:bottom w:val="none" w:sz="0" w:space="0" w:color="auto"/>
            <w:right w:val="none" w:sz="0" w:space="0" w:color="auto"/>
          </w:divBdr>
        </w:div>
      </w:divsChild>
    </w:div>
    <w:div w:id="1270309378">
      <w:bodyDiv w:val="1"/>
      <w:marLeft w:val="0"/>
      <w:marRight w:val="0"/>
      <w:marTop w:val="0"/>
      <w:marBottom w:val="0"/>
      <w:divBdr>
        <w:top w:val="none" w:sz="0" w:space="0" w:color="auto"/>
        <w:left w:val="none" w:sz="0" w:space="0" w:color="auto"/>
        <w:bottom w:val="none" w:sz="0" w:space="0" w:color="auto"/>
        <w:right w:val="none" w:sz="0" w:space="0" w:color="auto"/>
      </w:divBdr>
      <w:divsChild>
        <w:div w:id="508447461">
          <w:marLeft w:val="0"/>
          <w:marRight w:val="0"/>
          <w:marTop w:val="0"/>
          <w:marBottom w:val="0"/>
          <w:divBdr>
            <w:top w:val="none" w:sz="0" w:space="0" w:color="auto"/>
            <w:left w:val="none" w:sz="0" w:space="0" w:color="auto"/>
            <w:bottom w:val="none" w:sz="0" w:space="0" w:color="auto"/>
            <w:right w:val="none" w:sz="0" w:space="0" w:color="auto"/>
          </w:divBdr>
        </w:div>
        <w:div w:id="1637419130">
          <w:marLeft w:val="0"/>
          <w:marRight w:val="0"/>
          <w:marTop w:val="0"/>
          <w:marBottom w:val="0"/>
          <w:divBdr>
            <w:top w:val="none" w:sz="0" w:space="0" w:color="auto"/>
            <w:left w:val="none" w:sz="0" w:space="0" w:color="auto"/>
            <w:bottom w:val="none" w:sz="0" w:space="0" w:color="auto"/>
            <w:right w:val="none" w:sz="0" w:space="0" w:color="auto"/>
          </w:divBdr>
        </w:div>
        <w:div w:id="1054475174">
          <w:marLeft w:val="0"/>
          <w:marRight w:val="0"/>
          <w:marTop w:val="0"/>
          <w:marBottom w:val="0"/>
          <w:divBdr>
            <w:top w:val="none" w:sz="0" w:space="0" w:color="auto"/>
            <w:left w:val="none" w:sz="0" w:space="0" w:color="auto"/>
            <w:bottom w:val="none" w:sz="0" w:space="0" w:color="auto"/>
            <w:right w:val="none" w:sz="0" w:space="0" w:color="auto"/>
          </w:divBdr>
        </w:div>
        <w:div w:id="1850606166">
          <w:marLeft w:val="0"/>
          <w:marRight w:val="0"/>
          <w:marTop w:val="0"/>
          <w:marBottom w:val="0"/>
          <w:divBdr>
            <w:top w:val="none" w:sz="0" w:space="0" w:color="auto"/>
            <w:left w:val="none" w:sz="0" w:space="0" w:color="auto"/>
            <w:bottom w:val="none" w:sz="0" w:space="0" w:color="auto"/>
            <w:right w:val="none" w:sz="0" w:space="0" w:color="auto"/>
          </w:divBdr>
        </w:div>
        <w:div w:id="800612979">
          <w:marLeft w:val="0"/>
          <w:marRight w:val="0"/>
          <w:marTop w:val="0"/>
          <w:marBottom w:val="0"/>
          <w:divBdr>
            <w:top w:val="none" w:sz="0" w:space="0" w:color="auto"/>
            <w:left w:val="none" w:sz="0" w:space="0" w:color="auto"/>
            <w:bottom w:val="none" w:sz="0" w:space="0" w:color="auto"/>
            <w:right w:val="none" w:sz="0" w:space="0" w:color="auto"/>
          </w:divBdr>
        </w:div>
        <w:div w:id="1997758152">
          <w:marLeft w:val="0"/>
          <w:marRight w:val="0"/>
          <w:marTop w:val="0"/>
          <w:marBottom w:val="0"/>
          <w:divBdr>
            <w:top w:val="none" w:sz="0" w:space="0" w:color="auto"/>
            <w:left w:val="none" w:sz="0" w:space="0" w:color="auto"/>
            <w:bottom w:val="none" w:sz="0" w:space="0" w:color="auto"/>
            <w:right w:val="none" w:sz="0" w:space="0" w:color="auto"/>
          </w:divBdr>
        </w:div>
      </w:divsChild>
    </w:div>
    <w:div w:id="1339892372">
      <w:bodyDiv w:val="1"/>
      <w:marLeft w:val="0"/>
      <w:marRight w:val="0"/>
      <w:marTop w:val="0"/>
      <w:marBottom w:val="0"/>
      <w:divBdr>
        <w:top w:val="none" w:sz="0" w:space="0" w:color="auto"/>
        <w:left w:val="none" w:sz="0" w:space="0" w:color="auto"/>
        <w:bottom w:val="none" w:sz="0" w:space="0" w:color="auto"/>
        <w:right w:val="none" w:sz="0" w:space="0" w:color="auto"/>
      </w:divBdr>
    </w:div>
    <w:div w:id="1391004356">
      <w:bodyDiv w:val="1"/>
      <w:marLeft w:val="0"/>
      <w:marRight w:val="0"/>
      <w:marTop w:val="0"/>
      <w:marBottom w:val="0"/>
      <w:divBdr>
        <w:top w:val="none" w:sz="0" w:space="0" w:color="auto"/>
        <w:left w:val="none" w:sz="0" w:space="0" w:color="auto"/>
        <w:bottom w:val="none" w:sz="0" w:space="0" w:color="auto"/>
        <w:right w:val="none" w:sz="0" w:space="0" w:color="auto"/>
      </w:divBdr>
    </w:div>
    <w:div w:id="1393505536">
      <w:bodyDiv w:val="1"/>
      <w:marLeft w:val="0"/>
      <w:marRight w:val="0"/>
      <w:marTop w:val="0"/>
      <w:marBottom w:val="0"/>
      <w:divBdr>
        <w:top w:val="none" w:sz="0" w:space="0" w:color="auto"/>
        <w:left w:val="none" w:sz="0" w:space="0" w:color="auto"/>
        <w:bottom w:val="none" w:sz="0" w:space="0" w:color="auto"/>
        <w:right w:val="none" w:sz="0" w:space="0" w:color="auto"/>
      </w:divBdr>
    </w:div>
    <w:div w:id="1399786817">
      <w:bodyDiv w:val="1"/>
      <w:marLeft w:val="0"/>
      <w:marRight w:val="0"/>
      <w:marTop w:val="0"/>
      <w:marBottom w:val="0"/>
      <w:divBdr>
        <w:top w:val="none" w:sz="0" w:space="0" w:color="auto"/>
        <w:left w:val="none" w:sz="0" w:space="0" w:color="auto"/>
        <w:bottom w:val="none" w:sz="0" w:space="0" w:color="auto"/>
        <w:right w:val="none" w:sz="0" w:space="0" w:color="auto"/>
      </w:divBdr>
      <w:divsChild>
        <w:div w:id="13044814">
          <w:marLeft w:val="0"/>
          <w:marRight w:val="0"/>
          <w:marTop w:val="0"/>
          <w:marBottom w:val="0"/>
          <w:divBdr>
            <w:top w:val="none" w:sz="0" w:space="0" w:color="auto"/>
            <w:left w:val="none" w:sz="0" w:space="0" w:color="auto"/>
            <w:bottom w:val="none" w:sz="0" w:space="0" w:color="auto"/>
            <w:right w:val="none" w:sz="0" w:space="0" w:color="auto"/>
          </w:divBdr>
        </w:div>
        <w:div w:id="79521977">
          <w:marLeft w:val="0"/>
          <w:marRight w:val="0"/>
          <w:marTop w:val="0"/>
          <w:marBottom w:val="0"/>
          <w:divBdr>
            <w:top w:val="none" w:sz="0" w:space="0" w:color="auto"/>
            <w:left w:val="none" w:sz="0" w:space="0" w:color="auto"/>
            <w:bottom w:val="none" w:sz="0" w:space="0" w:color="auto"/>
            <w:right w:val="none" w:sz="0" w:space="0" w:color="auto"/>
          </w:divBdr>
        </w:div>
        <w:div w:id="986133680">
          <w:marLeft w:val="0"/>
          <w:marRight w:val="0"/>
          <w:marTop w:val="0"/>
          <w:marBottom w:val="0"/>
          <w:divBdr>
            <w:top w:val="none" w:sz="0" w:space="0" w:color="auto"/>
            <w:left w:val="none" w:sz="0" w:space="0" w:color="auto"/>
            <w:bottom w:val="none" w:sz="0" w:space="0" w:color="auto"/>
            <w:right w:val="none" w:sz="0" w:space="0" w:color="auto"/>
          </w:divBdr>
        </w:div>
      </w:divsChild>
    </w:div>
    <w:div w:id="1479423327">
      <w:bodyDiv w:val="1"/>
      <w:marLeft w:val="0"/>
      <w:marRight w:val="0"/>
      <w:marTop w:val="0"/>
      <w:marBottom w:val="0"/>
      <w:divBdr>
        <w:top w:val="none" w:sz="0" w:space="0" w:color="auto"/>
        <w:left w:val="none" w:sz="0" w:space="0" w:color="auto"/>
        <w:bottom w:val="none" w:sz="0" w:space="0" w:color="auto"/>
        <w:right w:val="none" w:sz="0" w:space="0" w:color="auto"/>
      </w:divBdr>
    </w:div>
    <w:div w:id="1589343647">
      <w:bodyDiv w:val="1"/>
      <w:marLeft w:val="0"/>
      <w:marRight w:val="0"/>
      <w:marTop w:val="0"/>
      <w:marBottom w:val="0"/>
      <w:divBdr>
        <w:top w:val="none" w:sz="0" w:space="0" w:color="auto"/>
        <w:left w:val="none" w:sz="0" w:space="0" w:color="auto"/>
        <w:bottom w:val="none" w:sz="0" w:space="0" w:color="auto"/>
        <w:right w:val="none" w:sz="0" w:space="0" w:color="auto"/>
      </w:divBdr>
      <w:divsChild>
        <w:div w:id="23094376">
          <w:marLeft w:val="0"/>
          <w:marRight w:val="0"/>
          <w:marTop w:val="0"/>
          <w:marBottom w:val="0"/>
          <w:divBdr>
            <w:top w:val="none" w:sz="0" w:space="0" w:color="auto"/>
            <w:left w:val="none" w:sz="0" w:space="0" w:color="auto"/>
            <w:bottom w:val="none" w:sz="0" w:space="0" w:color="auto"/>
            <w:right w:val="none" w:sz="0" w:space="0" w:color="auto"/>
          </w:divBdr>
        </w:div>
        <w:div w:id="271789006">
          <w:marLeft w:val="0"/>
          <w:marRight w:val="0"/>
          <w:marTop w:val="0"/>
          <w:marBottom w:val="0"/>
          <w:divBdr>
            <w:top w:val="none" w:sz="0" w:space="0" w:color="auto"/>
            <w:left w:val="none" w:sz="0" w:space="0" w:color="auto"/>
            <w:bottom w:val="none" w:sz="0" w:space="0" w:color="auto"/>
            <w:right w:val="none" w:sz="0" w:space="0" w:color="auto"/>
          </w:divBdr>
        </w:div>
        <w:div w:id="90204600">
          <w:marLeft w:val="0"/>
          <w:marRight w:val="0"/>
          <w:marTop w:val="0"/>
          <w:marBottom w:val="0"/>
          <w:divBdr>
            <w:top w:val="none" w:sz="0" w:space="0" w:color="auto"/>
            <w:left w:val="none" w:sz="0" w:space="0" w:color="auto"/>
            <w:bottom w:val="none" w:sz="0" w:space="0" w:color="auto"/>
            <w:right w:val="none" w:sz="0" w:space="0" w:color="auto"/>
          </w:divBdr>
        </w:div>
        <w:div w:id="1795513695">
          <w:marLeft w:val="0"/>
          <w:marRight w:val="0"/>
          <w:marTop w:val="0"/>
          <w:marBottom w:val="0"/>
          <w:divBdr>
            <w:top w:val="none" w:sz="0" w:space="0" w:color="auto"/>
            <w:left w:val="none" w:sz="0" w:space="0" w:color="auto"/>
            <w:bottom w:val="none" w:sz="0" w:space="0" w:color="auto"/>
            <w:right w:val="none" w:sz="0" w:space="0" w:color="auto"/>
          </w:divBdr>
        </w:div>
        <w:div w:id="477695600">
          <w:marLeft w:val="0"/>
          <w:marRight w:val="0"/>
          <w:marTop w:val="0"/>
          <w:marBottom w:val="0"/>
          <w:divBdr>
            <w:top w:val="none" w:sz="0" w:space="0" w:color="auto"/>
            <w:left w:val="none" w:sz="0" w:space="0" w:color="auto"/>
            <w:bottom w:val="none" w:sz="0" w:space="0" w:color="auto"/>
            <w:right w:val="none" w:sz="0" w:space="0" w:color="auto"/>
          </w:divBdr>
        </w:div>
      </w:divsChild>
    </w:div>
    <w:div w:id="1655598173">
      <w:bodyDiv w:val="1"/>
      <w:marLeft w:val="0"/>
      <w:marRight w:val="0"/>
      <w:marTop w:val="0"/>
      <w:marBottom w:val="0"/>
      <w:divBdr>
        <w:top w:val="none" w:sz="0" w:space="0" w:color="auto"/>
        <w:left w:val="none" w:sz="0" w:space="0" w:color="auto"/>
        <w:bottom w:val="none" w:sz="0" w:space="0" w:color="auto"/>
        <w:right w:val="none" w:sz="0" w:space="0" w:color="auto"/>
      </w:divBdr>
      <w:divsChild>
        <w:div w:id="861212646">
          <w:marLeft w:val="0"/>
          <w:marRight w:val="0"/>
          <w:marTop w:val="0"/>
          <w:marBottom w:val="0"/>
          <w:divBdr>
            <w:top w:val="none" w:sz="0" w:space="0" w:color="auto"/>
            <w:left w:val="none" w:sz="0" w:space="0" w:color="auto"/>
            <w:bottom w:val="none" w:sz="0" w:space="0" w:color="auto"/>
            <w:right w:val="none" w:sz="0" w:space="0" w:color="auto"/>
          </w:divBdr>
        </w:div>
        <w:div w:id="90396400">
          <w:marLeft w:val="0"/>
          <w:marRight w:val="0"/>
          <w:marTop w:val="0"/>
          <w:marBottom w:val="0"/>
          <w:divBdr>
            <w:top w:val="none" w:sz="0" w:space="0" w:color="auto"/>
            <w:left w:val="none" w:sz="0" w:space="0" w:color="auto"/>
            <w:bottom w:val="none" w:sz="0" w:space="0" w:color="auto"/>
            <w:right w:val="none" w:sz="0" w:space="0" w:color="auto"/>
          </w:divBdr>
        </w:div>
        <w:div w:id="1315450302">
          <w:marLeft w:val="0"/>
          <w:marRight w:val="0"/>
          <w:marTop w:val="0"/>
          <w:marBottom w:val="0"/>
          <w:divBdr>
            <w:top w:val="none" w:sz="0" w:space="0" w:color="auto"/>
            <w:left w:val="none" w:sz="0" w:space="0" w:color="auto"/>
            <w:bottom w:val="none" w:sz="0" w:space="0" w:color="auto"/>
            <w:right w:val="none" w:sz="0" w:space="0" w:color="auto"/>
          </w:divBdr>
        </w:div>
      </w:divsChild>
    </w:div>
    <w:div w:id="1658459637">
      <w:bodyDiv w:val="1"/>
      <w:marLeft w:val="0"/>
      <w:marRight w:val="0"/>
      <w:marTop w:val="0"/>
      <w:marBottom w:val="0"/>
      <w:divBdr>
        <w:top w:val="none" w:sz="0" w:space="0" w:color="auto"/>
        <w:left w:val="none" w:sz="0" w:space="0" w:color="auto"/>
        <w:bottom w:val="none" w:sz="0" w:space="0" w:color="auto"/>
        <w:right w:val="none" w:sz="0" w:space="0" w:color="auto"/>
      </w:divBdr>
    </w:div>
    <w:div w:id="1743483141">
      <w:bodyDiv w:val="1"/>
      <w:marLeft w:val="0"/>
      <w:marRight w:val="0"/>
      <w:marTop w:val="0"/>
      <w:marBottom w:val="0"/>
      <w:divBdr>
        <w:top w:val="none" w:sz="0" w:space="0" w:color="auto"/>
        <w:left w:val="none" w:sz="0" w:space="0" w:color="auto"/>
        <w:bottom w:val="none" w:sz="0" w:space="0" w:color="auto"/>
        <w:right w:val="none" w:sz="0" w:space="0" w:color="auto"/>
      </w:divBdr>
    </w:div>
    <w:div w:id="1821146035">
      <w:bodyDiv w:val="1"/>
      <w:marLeft w:val="0"/>
      <w:marRight w:val="0"/>
      <w:marTop w:val="0"/>
      <w:marBottom w:val="0"/>
      <w:divBdr>
        <w:top w:val="none" w:sz="0" w:space="0" w:color="auto"/>
        <w:left w:val="none" w:sz="0" w:space="0" w:color="auto"/>
        <w:bottom w:val="none" w:sz="0" w:space="0" w:color="auto"/>
        <w:right w:val="none" w:sz="0" w:space="0" w:color="auto"/>
      </w:divBdr>
    </w:div>
    <w:div w:id="1865971816">
      <w:bodyDiv w:val="1"/>
      <w:marLeft w:val="0"/>
      <w:marRight w:val="0"/>
      <w:marTop w:val="0"/>
      <w:marBottom w:val="0"/>
      <w:divBdr>
        <w:top w:val="none" w:sz="0" w:space="0" w:color="auto"/>
        <w:left w:val="none" w:sz="0" w:space="0" w:color="auto"/>
        <w:bottom w:val="none" w:sz="0" w:space="0" w:color="auto"/>
        <w:right w:val="none" w:sz="0" w:space="0" w:color="auto"/>
      </w:divBdr>
    </w:div>
    <w:div w:id="1872188130">
      <w:bodyDiv w:val="1"/>
      <w:marLeft w:val="0"/>
      <w:marRight w:val="0"/>
      <w:marTop w:val="0"/>
      <w:marBottom w:val="0"/>
      <w:divBdr>
        <w:top w:val="none" w:sz="0" w:space="0" w:color="auto"/>
        <w:left w:val="none" w:sz="0" w:space="0" w:color="auto"/>
        <w:bottom w:val="none" w:sz="0" w:space="0" w:color="auto"/>
        <w:right w:val="none" w:sz="0" w:space="0" w:color="auto"/>
      </w:divBdr>
    </w:div>
    <w:div w:id="1885174398">
      <w:bodyDiv w:val="1"/>
      <w:marLeft w:val="0"/>
      <w:marRight w:val="0"/>
      <w:marTop w:val="0"/>
      <w:marBottom w:val="0"/>
      <w:divBdr>
        <w:top w:val="none" w:sz="0" w:space="0" w:color="auto"/>
        <w:left w:val="none" w:sz="0" w:space="0" w:color="auto"/>
        <w:bottom w:val="none" w:sz="0" w:space="0" w:color="auto"/>
        <w:right w:val="none" w:sz="0" w:space="0" w:color="auto"/>
      </w:divBdr>
      <w:divsChild>
        <w:div w:id="705758941">
          <w:marLeft w:val="0"/>
          <w:marRight w:val="0"/>
          <w:marTop w:val="0"/>
          <w:marBottom w:val="0"/>
          <w:divBdr>
            <w:top w:val="none" w:sz="0" w:space="0" w:color="auto"/>
            <w:left w:val="none" w:sz="0" w:space="0" w:color="auto"/>
            <w:bottom w:val="none" w:sz="0" w:space="0" w:color="auto"/>
            <w:right w:val="none" w:sz="0" w:space="0" w:color="auto"/>
          </w:divBdr>
        </w:div>
        <w:div w:id="1452356849">
          <w:marLeft w:val="0"/>
          <w:marRight w:val="0"/>
          <w:marTop w:val="0"/>
          <w:marBottom w:val="0"/>
          <w:divBdr>
            <w:top w:val="none" w:sz="0" w:space="0" w:color="auto"/>
            <w:left w:val="none" w:sz="0" w:space="0" w:color="auto"/>
            <w:bottom w:val="none" w:sz="0" w:space="0" w:color="auto"/>
            <w:right w:val="none" w:sz="0" w:space="0" w:color="auto"/>
          </w:divBdr>
        </w:div>
        <w:div w:id="200825621">
          <w:marLeft w:val="0"/>
          <w:marRight w:val="0"/>
          <w:marTop w:val="0"/>
          <w:marBottom w:val="0"/>
          <w:divBdr>
            <w:top w:val="none" w:sz="0" w:space="0" w:color="auto"/>
            <w:left w:val="none" w:sz="0" w:space="0" w:color="auto"/>
            <w:bottom w:val="none" w:sz="0" w:space="0" w:color="auto"/>
            <w:right w:val="none" w:sz="0" w:space="0" w:color="auto"/>
          </w:divBdr>
        </w:div>
        <w:div w:id="1574195610">
          <w:marLeft w:val="0"/>
          <w:marRight w:val="0"/>
          <w:marTop w:val="0"/>
          <w:marBottom w:val="0"/>
          <w:divBdr>
            <w:top w:val="none" w:sz="0" w:space="0" w:color="auto"/>
            <w:left w:val="none" w:sz="0" w:space="0" w:color="auto"/>
            <w:bottom w:val="none" w:sz="0" w:space="0" w:color="auto"/>
            <w:right w:val="none" w:sz="0" w:space="0" w:color="auto"/>
          </w:divBdr>
        </w:div>
        <w:div w:id="781192113">
          <w:marLeft w:val="0"/>
          <w:marRight w:val="0"/>
          <w:marTop w:val="0"/>
          <w:marBottom w:val="0"/>
          <w:divBdr>
            <w:top w:val="none" w:sz="0" w:space="0" w:color="auto"/>
            <w:left w:val="none" w:sz="0" w:space="0" w:color="auto"/>
            <w:bottom w:val="none" w:sz="0" w:space="0" w:color="auto"/>
            <w:right w:val="none" w:sz="0" w:space="0" w:color="auto"/>
          </w:divBdr>
        </w:div>
        <w:div w:id="49034871">
          <w:marLeft w:val="0"/>
          <w:marRight w:val="0"/>
          <w:marTop w:val="0"/>
          <w:marBottom w:val="0"/>
          <w:divBdr>
            <w:top w:val="none" w:sz="0" w:space="0" w:color="auto"/>
            <w:left w:val="none" w:sz="0" w:space="0" w:color="auto"/>
            <w:bottom w:val="none" w:sz="0" w:space="0" w:color="auto"/>
            <w:right w:val="none" w:sz="0" w:space="0" w:color="auto"/>
          </w:divBdr>
        </w:div>
        <w:div w:id="140538871">
          <w:marLeft w:val="0"/>
          <w:marRight w:val="0"/>
          <w:marTop w:val="0"/>
          <w:marBottom w:val="0"/>
          <w:divBdr>
            <w:top w:val="none" w:sz="0" w:space="0" w:color="auto"/>
            <w:left w:val="none" w:sz="0" w:space="0" w:color="auto"/>
            <w:bottom w:val="none" w:sz="0" w:space="0" w:color="auto"/>
            <w:right w:val="none" w:sz="0" w:space="0" w:color="auto"/>
          </w:divBdr>
        </w:div>
      </w:divsChild>
    </w:div>
    <w:div w:id="1911964559">
      <w:bodyDiv w:val="1"/>
      <w:marLeft w:val="0"/>
      <w:marRight w:val="0"/>
      <w:marTop w:val="0"/>
      <w:marBottom w:val="0"/>
      <w:divBdr>
        <w:top w:val="none" w:sz="0" w:space="0" w:color="auto"/>
        <w:left w:val="none" w:sz="0" w:space="0" w:color="auto"/>
        <w:bottom w:val="none" w:sz="0" w:space="0" w:color="auto"/>
        <w:right w:val="none" w:sz="0" w:space="0" w:color="auto"/>
      </w:divBdr>
    </w:div>
    <w:div w:id="1946425581">
      <w:bodyDiv w:val="1"/>
      <w:marLeft w:val="0"/>
      <w:marRight w:val="0"/>
      <w:marTop w:val="0"/>
      <w:marBottom w:val="0"/>
      <w:divBdr>
        <w:top w:val="none" w:sz="0" w:space="0" w:color="auto"/>
        <w:left w:val="none" w:sz="0" w:space="0" w:color="auto"/>
        <w:bottom w:val="none" w:sz="0" w:space="0" w:color="auto"/>
        <w:right w:val="none" w:sz="0" w:space="0" w:color="auto"/>
      </w:divBdr>
      <w:divsChild>
        <w:div w:id="971598595">
          <w:marLeft w:val="0"/>
          <w:marRight w:val="0"/>
          <w:marTop w:val="0"/>
          <w:marBottom w:val="0"/>
          <w:divBdr>
            <w:top w:val="none" w:sz="0" w:space="0" w:color="auto"/>
            <w:left w:val="none" w:sz="0" w:space="0" w:color="auto"/>
            <w:bottom w:val="none" w:sz="0" w:space="0" w:color="auto"/>
            <w:right w:val="none" w:sz="0" w:space="0" w:color="auto"/>
          </w:divBdr>
        </w:div>
        <w:div w:id="1795753966">
          <w:marLeft w:val="0"/>
          <w:marRight w:val="0"/>
          <w:marTop w:val="0"/>
          <w:marBottom w:val="0"/>
          <w:divBdr>
            <w:top w:val="none" w:sz="0" w:space="0" w:color="auto"/>
            <w:left w:val="none" w:sz="0" w:space="0" w:color="auto"/>
            <w:bottom w:val="none" w:sz="0" w:space="0" w:color="auto"/>
            <w:right w:val="none" w:sz="0" w:space="0" w:color="auto"/>
          </w:divBdr>
        </w:div>
        <w:div w:id="1146707254">
          <w:marLeft w:val="0"/>
          <w:marRight w:val="0"/>
          <w:marTop w:val="0"/>
          <w:marBottom w:val="0"/>
          <w:divBdr>
            <w:top w:val="none" w:sz="0" w:space="0" w:color="auto"/>
            <w:left w:val="none" w:sz="0" w:space="0" w:color="auto"/>
            <w:bottom w:val="none" w:sz="0" w:space="0" w:color="auto"/>
            <w:right w:val="none" w:sz="0" w:space="0" w:color="auto"/>
          </w:divBdr>
        </w:div>
        <w:div w:id="152912016">
          <w:marLeft w:val="0"/>
          <w:marRight w:val="0"/>
          <w:marTop w:val="0"/>
          <w:marBottom w:val="0"/>
          <w:divBdr>
            <w:top w:val="none" w:sz="0" w:space="0" w:color="auto"/>
            <w:left w:val="none" w:sz="0" w:space="0" w:color="auto"/>
            <w:bottom w:val="none" w:sz="0" w:space="0" w:color="auto"/>
            <w:right w:val="none" w:sz="0" w:space="0" w:color="auto"/>
          </w:divBdr>
        </w:div>
        <w:div w:id="1628975094">
          <w:marLeft w:val="0"/>
          <w:marRight w:val="0"/>
          <w:marTop w:val="0"/>
          <w:marBottom w:val="0"/>
          <w:divBdr>
            <w:top w:val="none" w:sz="0" w:space="0" w:color="auto"/>
            <w:left w:val="none" w:sz="0" w:space="0" w:color="auto"/>
            <w:bottom w:val="none" w:sz="0" w:space="0" w:color="auto"/>
            <w:right w:val="none" w:sz="0" w:space="0" w:color="auto"/>
          </w:divBdr>
        </w:div>
        <w:div w:id="82646817">
          <w:marLeft w:val="0"/>
          <w:marRight w:val="0"/>
          <w:marTop w:val="0"/>
          <w:marBottom w:val="0"/>
          <w:divBdr>
            <w:top w:val="none" w:sz="0" w:space="0" w:color="auto"/>
            <w:left w:val="none" w:sz="0" w:space="0" w:color="auto"/>
            <w:bottom w:val="none" w:sz="0" w:space="0" w:color="auto"/>
            <w:right w:val="none" w:sz="0" w:space="0" w:color="auto"/>
          </w:divBdr>
        </w:div>
        <w:div w:id="1609005052">
          <w:marLeft w:val="0"/>
          <w:marRight w:val="0"/>
          <w:marTop w:val="0"/>
          <w:marBottom w:val="0"/>
          <w:divBdr>
            <w:top w:val="none" w:sz="0" w:space="0" w:color="auto"/>
            <w:left w:val="none" w:sz="0" w:space="0" w:color="auto"/>
            <w:bottom w:val="none" w:sz="0" w:space="0" w:color="auto"/>
            <w:right w:val="none" w:sz="0" w:space="0" w:color="auto"/>
          </w:divBdr>
        </w:div>
        <w:div w:id="854802143">
          <w:marLeft w:val="0"/>
          <w:marRight w:val="0"/>
          <w:marTop w:val="0"/>
          <w:marBottom w:val="0"/>
          <w:divBdr>
            <w:top w:val="none" w:sz="0" w:space="0" w:color="auto"/>
            <w:left w:val="none" w:sz="0" w:space="0" w:color="auto"/>
            <w:bottom w:val="none" w:sz="0" w:space="0" w:color="auto"/>
            <w:right w:val="none" w:sz="0" w:space="0" w:color="auto"/>
          </w:divBdr>
        </w:div>
        <w:div w:id="494688629">
          <w:marLeft w:val="0"/>
          <w:marRight w:val="0"/>
          <w:marTop w:val="0"/>
          <w:marBottom w:val="0"/>
          <w:divBdr>
            <w:top w:val="none" w:sz="0" w:space="0" w:color="auto"/>
            <w:left w:val="none" w:sz="0" w:space="0" w:color="auto"/>
            <w:bottom w:val="none" w:sz="0" w:space="0" w:color="auto"/>
            <w:right w:val="none" w:sz="0" w:space="0" w:color="auto"/>
          </w:divBdr>
        </w:div>
        <w:div w:id="256601992">
          <w:marLeft w:val="0"/>
          <w:marRight w:val="0"/>
          <w:marTop w:val="0"/>
          <w:marBottom w:val="0"/>
          <w:divBdr>
            <w:top w:val="none" w:sz="0" w:space="0" w:color="auto"/>
            <w:left w:val="none" w:sz="0" w:space="0" w:color="auto"/>
            <w:bottom w:val="none" w:sz="0" w:space="0" w:color="auto"/>
            <w:right w:val="none" w:sz="0" w:space="0" w:color="auto"/>
          </w:divBdr>
        </w:div>
        <w:div w:id="1390229544">
          <w:marLeft w:val="0"/>
          <w:marRight w:val="0"/>
          <w:marTop w:val="0"/>
          <w:marBottom w:val="0"/>
          <w:divBdr>
            <w:top w:val="none" w:sz="0" w:space="0" w:color="auto"/>
            <w:left w:val="none" w:sz="0" w:space="0" w:color="auto"/>
            <w:bottom w:val="none" w:sz="0" w:space="0" w:color="auto"/>
            <w:right w:val="none" w:sz="0" w:space="0" w:color="auto"/>
          </w:divBdr>
        </w:div>
        <w:div w:id="1933513072">
          <w:marLeft w:val="0"/>
          <w:marRight w:val="0"/>
          <w:marTop w:val="0"/>
          <w:marBottom w:val="0"/>
          <w:divBdr>
            <w:top w:val="none" w:sz="0" w:space="0" w:color="auto"/>
            <w:left w:val="none" w:sz="0" w:space="0" w:color="auto"/>
            <w:bottom w:val="none" w:sz="0" w:space="0" w:color="auto"/>
            <w:right w:val="none" w:sz="0" w:space="0" w:color="auto"/>
          </w:divBdr>
        </w:div>
        <w:div w:id="1882545892">
          <w:marLeft w:val="0"/>
          <w:marRight w:val="0"/>
          <w:marTop w:val="0"/>
          <w:marBottom w:val="0"/>
          <w:divBdr>
            <w:top w:val="none" w:sz="0" w:space="0" w:color="auto"/>
            <w:left w:val="none" w:sz="0" w:space="0" w:color="auto"/>
            <w:bottom w:val="none" w:sz="0" w:space="0" w:color="auto"/>
            <w:right w:val="none" w:sz="0" w:space="0" w:color="auto"/>
          </w:divBdr>
        </w:div>
        <w:div w:id="2064525776">
          <w:marLeft w:val="0"/>
          <w:marRight w:val="0"/>
          <w:marTop w:val="0"/>
          <w:marBottom w:val="0"/>
          <w:divBdr>
            <w:top w:val="none" w:sz="0" w:space="0" w:color="auto"/>
            <w:left w:val="none" w:sz="0" w:space="0" w:color="auto"/>
            <w:bottom w:val="none" w:sz="0" w:space="0" w:color="auto"/>
            <w:right w:val="none" w:sz="0" w:space="0" w:color="auto"/>
          </w:divBdr>
        </w:div>
        <w:div w:id="693922879">
          <w:marLeft w:val="0"/>
          <w:marRight w:val="0"/>
          <w:marTop w:val="0"/>
          <w:marBottom w:val="0"/>
          <w:divBdr>
            <w:top w:val="none" w:sz="0" w:space="0" w:color="auto"/>
            <w:left w:val="none" w:sz="0" w:space="0" w:color="auto"/>
            <w:bottom w:val="none" w:sz="0" w:space="0" w:color="auto"/>
            <w:right w:val="none" w:sz="0" w:space="0" w:color="auto"/>
          </w:divBdr>
        </w:div>
        <w:div w:id="1494951979">
          <w:marLeft w:val="0"/>
          <w:marRight w:val="0"/>
          <w:marTop w:val="0"/>
          <w:marBottom w:val="0"/>
          <w:divBdr>
            <w:top w:val="none" w:sz="0" w:space="0" w:color="auto"/>
            <w:left w:val="none" w:sz="0" w:space="0" w:color="auto"/>
            <w:bottom w:val="none" w:sz="0" w:space="0" w:color="auto"/>
            <w:right w:val="none" w:sz="0" w:space="0" w:color="auto"/>
          </w:divBdr>
        </w:div>
        <w:div w:id="424159200">
          <w:marLeft w:val="0"/>
          <w:marRight w:val="0"/>
          <w:marTop w:val="0"/>
          <w:marBottom w:val="0"/>
          <w:divBdr>
            <w:top w:val="none" w:sz="0" w:space="0" w:color="auto"/>
            <w:left w:val="none" w:sz="0" w:space="0" w:color="auto"/>
            <w:bottom w:val="none" w:sz="0" w:space="0" w:color="auto"/>
            <w:right w:val="none" w:sz="0" w:space="0" w:color="auto"/>
          </w:divBdr>
        </w:div>
        <w:div w:id="1633244892">
          <w:marLeft w:val="0"/>
          <w:marRight w:val="0"/>
          <w:marTop w:val="0"/>
          <w:marBottom w:val="0"/>
          <w:divBdr>
            <w:top w:val="none" w:sz="0" w:space="0" w:color="auto"/>
            <w:left w:val="none" w:sz="0" w:space="0" w:color="auto"/>
            <w:bottom w:val="none" w:sz="0" w:space="0" w:color="auto"/>
            <w:right w:val="none" w:sz="0" w:space="0" w:color="auto"/>
          </w:divBdr>
        </w:div>
        <w:div w:id="1286814624">
          <w:marLeft w:val="0"/>
          <w:marRight w:val="0"/>
          <w:marTop w:val="0"/>
          <w:marBottom w:val="0"/>
          <w:divBdr>
            <w:top w:val="none" w:sz="0" w:space="0" w:color="auto"/>
            <w:left w:val="none" w:sz="0" w:space="0" w:color="auto"/>
            <w:bottom w:val="none" w:sz="0" w:space="0" w:color="auto"/>
            <w:right w:val="none" w:sz="0" w:space="0" w:color="auto"/>
          </w:divBdr>
        </w:div>
        <w:div w:id="1894190494">
          <w:marLeft w:val="0"/>
          <w:marRight w:val="0"/>
          <w:marTop w:val="0"/>
          <w:marBottom w:val="0"/>
          <w:divBdr>
            <w:top w:val="none" w:sz="0" w:space="0" w:color="auto"/>
            <w:left w:val="none" w:sz="0" w:space="0" w:color="auto"/>
            <w:bottom w:val="none" w:sz="0" w:space="0" w:color="auto"/>
            <w:right w:val="none" w:sz="0" w:space="0" w:color="auto"/>
          </w:divBdr>
        </w:div>
      </w:divsChild>
    </w:div>
    <w:div w:id="1950509356">
      <w:bodyDiv w:val="1"/>
      <w:marLeft w:val="0"/>
      <w:marRight w:val="0"/>
      <w:marTop w:val="0"/>
      <w:marBottom w:val="0"/>
      <w:divBdr>
        <w:top w:val="none" w:sz="0" w:space="0" w:color="auto"/>
        <w:left w:val="none" w:sz="0" w:space="0" w:color="auto"/>
        <w:bottom w:val="none" w:sz="0" w:space="0" w:color="auto"/>
        <w:right w:val="none" w:sz="0" w:space="0" w:color="auto"/>
      </w:divBdr>
    </w:div>
    <w:div w:id="1961690051">
      <w:bodyDiv w:val="1"/>
      <w:marLeft w:val="0"/>
      <w:marRight w:val="0"/>
      <w:marTop w:val="0"/>
      <w:marBottom w:val="0"/>
      <w:divBdr>
        <w:top w:val="none" w:sz="0" w:space="0" w:color="auto"/>
        <w:left w:val="none" w:sz="0" w:space="0" w:color="auto"/>
        <w:bottom w:val="none" w:sz="0" w:space="0" w:color="auto"/>
        <w:right w:val="none" w:sz="0" w:space="0" w:color="auto"/>
      </w:divBdr>
      <w:divsChild>
        <w:div w:id="1151672372">
          <w:marLeft w:val="0"/>
          <w:marRight w:val="0"/>
          <w:marTop w:val="0"/>
          <w:marBottom w:val="0"/>
          <w:divBdr>
            <w:top w:val="none" w:sz="0" w:space="0" w:color="auto"/>
            <w:left w:val="none" w:sz="0" w:space="0" w:color="auto"/>
            <w:bottom w:val="none" w:sz="0" w:space="0" w:color="auto"/>
            <w:right w:val="none" w:sz="0" w:space="0" w:color="auto"/>
          </w:divBdr>
        </w:div>
        <w:div w:id="445126731">
          <w:marLeft w:val="0"/>
          <w:marRight w:val="0"/>
          <w:marTop w:val="0"/>
          <w:marBottom w:val="450"/>
          <w:divBdr>
            <w:top w:val="none" w:sz="0" w:space="0" w:color="auto"/>
            <w:left w:val="none" w:sz="0" w:space="0" w:color="auto"/>
            <w:bottom w:val="none" w:sz="0" w:space="0" w:color="auto"/>
            <w:right w:val="none" w:sz="0" w:space="0" w:color="auto"/>
          </w:divBdr>
          <w:divsChild>
            <w:div w:id="1056931092">
              <w:marLeft w:val="0"/>
              <w:marRight w:val="0"/>
              <w:marTop w:val="0"/>
              <w:marBottom w:val="0"/>
              <w:divBdr>
                <w:top w:val="none" w:sz="0" w:space="0" w:color="auto"/>
                <w:left w:val="none" w:sz="0" w:space="0" w:color="auto"/>
                <w:bottom w:val="none" w:sz="0" w:space="0" w:color="auto"/>
                <w:right w:val="none" w:sz="0" w:space="0" w:color="auto"/>
              </w:divBdr>
              <w:divsChild>
                <w:div w:id="1841387581">
                  <w:marLeft w:val="0"/>
                  <w:marRight w:val="0"/>
                  <w:marTop w:val="0"/>
                  <w:marBottom w:val="0"/>
                  <w:divBdr>
                    <w:top w:val="none" w:sz="0" w:space="0" w:color="DDDDDD"/>
                    <w:left w:val="none" w:sz="0" w:space="0" w:color="DDDDDD"/>
                    <w:bottom w:val="none" w:sz="0" w:space="0" w:color="auto"/>
                    <w:right w:val="none" w:sz="0" w:space="0" w:color="DDDDDD"/>
                  </w:divBdr>
                </w:div>
              </w:divsChild>
            </w:div>
            <w:div w:id="851068173">
              <w:marLeft w:val="0"/>
              <w:marRight w:val="0"/>
              <w:marTop w:val="0"/>
              <w:marBottom w:val="0"/>
              <w:divBdr>
                <w:top w:val="none" w:sz="0" w:space="0" w:color="auto"/>
                <w:left w:val="none" w:sz="0" w:space="0" w:color="auto"/>
                <w:bottom w:val="none" w:sz="0" w:space="0" w:color="auto"/>
                <w:right w:val="none" w:sz="0" w:space="0" w:color="auto"/>
              </w:divBdr>
              <w:divsChild>
                <w:div w:id="391540913">
                  <w:marLeft w:val="0"/>
                  <w:marRight w:val="0"/>
                  <w:marTop w:val="0"/>
                  <w:marBottom w:val="0"/>
                  <w:divBdr>
                    <w:top w:val="none" w:sz="0" w:space="0" w:color="DDDDDD"/>
                    <w:left w:val="none" w:sz="0" w:space="0" w:color="DDDDDD"/>
                    <w:bottom w:val="none" w:sz="0" w:space="0" w:color="auto"/>
                    <w:right w:val="none" w:sz="0" w:space="0" w:color="DDDDDD"/>
                  </w:divBdr>
                </w:div>
                <w:div w:id="1784181519">
                  <w:marLeft w:val="0"/>
                  <w:marRight w:val="0"/>
                  <w:marTop w:val="0"/>
                  <w:marBottom w:val="0"/>
                  <w:divBdr>
                    <w:top w:val="none" w:sz="0" w:space="0" w:color="auto"/>
                    <w:left w:val="none" w:sz="0" w:space="0" w:color="auto"/>
                    <w:bottom w:val="none" w:sz="0" w:space="0" w:color="auto"/>
                    <w:right w:val="none" w:sz="0" w:space="0" w:color="auto"/>
                  </w:divBdr>
                  <w:divsChild>
                    <w:div w:id="672417860">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 w:id="1977829125">
      <w:bodyDiv w:val="1"/>
      <w:marLeft w:val="0"/>
      <w:marRight w:val="0"/>
      <w:marTop w:val="0"/>
      <w:marBottom w:val="0"/>
      <w:divBdr>
        <w:top w:val="none" w:sz="0" w:space="0" w:color="auto"/>
        <w:left w:val="none" w:sz="0" w:space="0" w:color="auto"/>
        <w:bottom w:val="none" w:sz="0" w:space="0" w:color="auto"/>
        <w:right w:val="none" w:sz="0" w:space="0" w:color="auto"/>
      </w:divBdr>
    </w:div>
    <w:div w:id="2041783617">
      <w:bodyDiv w:val="1"/>
      <w:marLeft w:val="0"/>
      <w:marRight w:val="0"/>
      <w:marTop w:val="0"/>
      <w:marBottom w:val="0"/>
      <w:divBdr>
        <w:top w:val="none" w:sz="0" w:space="0" w:color="auto"/>
        <w:left w:val="none" w:sz="0" w:space="0" w:color="auto"/>
        <w:bottom w:val="none" w:sz="0" w:space="0" w:color="auto"/>
        <w:right w:val="none" w:sz="0" w:space="0" w:color="auto"/>
      </w:divBdr>
    </w:div>
    <w:div w:id="2053532490">
      <w:bodyDiv w:val="1"/>
      <w:marLeft w:val="0"/>
      <w:marRight w:val="0"/>
      <w:marTop w:val="0"/>
      <w:marBottom w:val="0"/>
      <w:divBdr>
        <w:top w:val="none" w:sz="0" w:space="0" w:color="auto"/>
        <w:left w:val="none" w:sz="0" w:space="0" w:color="auto"/>
        <w:bottom w:val="none" w:sz="0" w:space="0" w:color="auto"/>
        <w:right w:val="none" w:sz="0" w:space="0" w:color="auto"/>
      </w:divBdr>
      <w:divsChild>
        <w:div w:id="558596070">
          <w:marLeft w:val="0"/>
          <w:marRight w:val="0"/>
          <w:marTop w:val="0"/>
          <w:marBottom w:val="0"/>
          <w:divBdr>
            <w:top w:val="none" w:sz="0" w:space="0" w:color="auto"/>
            <w:left w:val="none" w:sz="0" w:space="0" w:color="auto"/>
            <w:bottom w:val="none" w:sz="0" w:space="0" w:color="auto"/>
            <w:right w:val="none" w:sz="0" w:space="0" w:color="auto"/>
          </w:divBdr>
        </w:div>
        <w:div w:id="1001083115">
          <w:marLeft w:val="0"/>
          <w:marRight w:val="0"/>
          <w:marTop w:val="0"/>
          <w:marBottom w:val="0"/>
          <w:divBdr>
            <w:top w:val="none" w:sz="0" w:space="0" w:color="auto"/>
            <w:left w:val="none" w:sz="0" w:space="0" w:color="auto"/>
            <w:bottom w:val="none" w:sz="0" w:space="0" w:color="auto"/>
            <w:right w:val="none" w:sz="0" w:space="0" w:color="auto"/>
          </w:divBdr>
        </w:div>
      </w:divsChild>
    </w:div>
    <w:div w:id="2081562430">
      <w:bodyDiv w:val="1"/>
      <w:marLeft w:val="0"/>
      <w:marRight w:val="0"/>
      <w:marTop w:val="0"/>
      <w:marBottom w:val="0"/>
      <w:divBdr>
        <w:top w:val="none" w:sz="0" w:space="0" w:color="auto"/>
        <w:left w:val="none" w:sz="0" w:space="0" w:color="auto"/>
        <w:bottom w:val="none" w:sz="0" w:space="0" w:color="auto"/>
        <w:right w:val="none" w:sz="0" w:space="0" w:color="auto"/>
      </w:divBdr>
      <w:divsChild>
        <w:div w:id="581791764">
          <w:marLeft w:val="0"/>
          <w:marRight w:val="0"/>
          <w:marTop w:val="0"/>
          <w:marBottom w:val="0"/>
          <w:divBdr>
            <w:top w:val="none" w:sz="0" w:space="0" w:color="auto"/>
            <w:left w:val="none" w:sz="0" w:space="0" w:color="auto"/>
            <w:bottom w:val="none" w:sz="0" w:space="0" w:color="auto"/>
            <w:right w:val="none" w:sz="0" w:space="0" w:color="auto"/>
          </w:divBdr>
        </w:div>
        <w:div w:id="1593852486">
          <w:marLeft w:val="0"/>
          <w:marRight w:val="0"/>
          <w:marTop w:val="0"/>
          <w:marBottom w:val="0"/>
          <w:divBdr>
            <w:top w:val="none" w:sz="0" w:space="0" w:color="auto"/>
            <w:left w:val="none" w:sz="0" w:space="0" w:color="auto"/>
            <w:bottom w:val="none" w:sz="0" w:space="0" w:color="auto"/>
            <w:right w:val="none" w:sz="0" w:space="0" w:color="auto"/>
          </w:divBdr>
        </w:div>
        <w:div w:id="45106446">
          <w:marLeft w:val="0"/>
          <w:marRight w:val="0"/>
          <w:marTop w:val="0"/>
          <w:marBottom w:val="0"/>
          <w:divBdr>
            <w:top w:val="none" w:sz="0" w:space="0" w:color="auto"/>
            <w:left w:val="none" w:sz="0" w:space="0" w:color="auto"/>
            <w:bottom w:val="none" w:sz="0" w:space="0" w:color="auto"/>
            <w:right w:val="none" w:sz="0" w:space="0" w:color="auto"/>
          </w:divBdr>
        </w:div>
        <w:div w:id="1136795059">
          <w:marLeft w:val="0"/>
          <w:marRight w:val="0"/>
          <w:marTop w:val="0"/>
          <w:marBottom w:val="0"/>
          <w:divBdr>
            <w:top w:val="none" w:sz="0" w:space="0" w:color="auto"/>
            <w:left w:val="none" w:sz="0" w:space="0" w:color="auto"/>
            <w:bottom w:val="none" w:sz="0" w:space="0" w:color="auto"/>
            <w:right w:val="none" w:sz="0" w:space="0" w:color="auto"/>
          </w:divBdr>
        </w:div>
        <w:div w:id="1657688250">
          <w:marLeft w:val="0"/>
          <w:marRight w:val="0"/>
          <w:marTop w:val="0"/>
          <w:marBottom w:val="0"/>
          <w:divBdr>
            <w:top w:val="none" w:sz="0" w:space="0" w:color="auto"/>
            <w:left w:val="none" w:sz="0" w:space="0" w:color="auto"/>
            <w:bottom w:val="none" w:sz="0" w:space="0" w:color="auto"/>
            <w:right w:val="none" w:sz="0" w:space="0" w:color="auto"/>
          </w:divBdr>
        </w:div>
        <w:div w:id="365643959">
          <w:marLeft w:val="0"/>
          <w:marRight w:val="0"/>
          <w:marTop w:val="0"/>
          <w:marBottom w:val="0"/>
          <w:divBdr>
            <w:top w:val="none" w:sz="0" w:space="0" w:color="auto"/>
            <w:left w:val="none" w:sz="0" w:space="0" w:color="auto"/>
            <w:bottom w:val="none" w:sz="0" w:space="0" w:color="auto"/>
            <w:right w:val="none" w:sz="0" w:space="0" w:color="auto"/>
          </w:divBdr>
        </w:div>
        <w:div w:id="820148984">
          <w:marLeft w:val="0"/>
          <w:marRight w:val="0"/>
          <w:marTop w:val="0"/>
          <w:marBottom w:val="0"/>
          <w:divBdr>
            <w:top w:val="none" w:sz="0" w:space="0" w:color="auto"/>
            <w:left w:val="none" w:sz="0" w:space="0" w:color="auto"/>
            <w:bottom w:val="none" w:sz="0" w:space="0" w:color="auto"/>
            <w:right w:val="none" w:sz="0" w:space="0" w:color="auto"/>
          </w:divBdr>
        </w:div>
        <w:div w:id="785273534">
          <w:marLeft w:val="0"/>
          <w:marRight w:val="0"/>
          <w:marTop w:val="0"/>
          <w:marBottom w:val="0"/>
          <w:divBdr>
            <w:top w:val="none" w:sz="0" w:space="0" w:color="auto"/>
            <w:left w:val="none" w:sz="0" w:space="0" w:color="auto"/>
            <w:bottom w:val="none" w:sz="0" w:space="0" w:color="auto"/>
            <w:right w:val="none" w:sz="0" w:space="0" w:color="auto"/>
          </w:divBdr>
        </w:div>
        <w:div w:id="186227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33320.pcdn.co/wp-content/uploads/TASO_-Report_Impact-evaluation-with-small-cohorts_methodology-guidance_Secured-1.pdf" TargetMode="External"/><Relationship Id="rId18" Type="http://schemas.openxmlformats.org/officeDocument/2006/relationships/hyperlink" Target="https://www.officeforstudents.org.uk/for-providers/equality-of-opportunity/evaluation/standards-of-evidence-and-evaluation-self-assessment-tool/" TargetMode="External"/><Relationship Id="rId26" Type="http://schemas.openxmlformats.org/officeDocument/2006/relationships/hyperlink" Target="https://taso.org.uk/wp-content/uploads/Summary-report-Understanding-gaps-in-the-student-experience-TASO.pdf" TargetMode="External"/><Relationship Id="rId39" Type="http://schemas.openxmlformats.org/officeDocument/2006/relationships/hyperlink" Target="https://www.officeforstudents.org.uk/for-providers/equality-of-opportunity/equality-of-opportunity-risk-register/" TargetMode="External"/><Relationship Id="rId21" Type="http://schemas.openxmlformats.org/officeDocument/2006/relationships/hyperlink" Target="https://www.kirkleescollege.ac.uk/financial-support/" TargetMode="External"/><Relationship Id="rId34" Type="http://schemas.openxmlformats.org/officeDocument/2006/relationships/hyperlink" Target="https://www.nnecl.org/resources/23-nnecl-moving-on-up-report" TargetMode="External"/><Relationship Id="rId42" Type="http://schemas.openxmlformats.org/officeDocument/2006/relationships/hyperlink" Target="https://s33320.pcdn.co/wp-content/uploads/TASO_-Report_Impact-evaluation-with-small-cohorts_methodology-guidance_Secured-1.pdf" TargetMode="External"/><Relationship Id="rId47" Type="http://schemas.openxmlformats.org/officeDocument/2006/relationships/hyperlink" Target="https://taso.org.uk/evidence/evaluation-guidance-resources/" TargetMode="External"/><Relationship Id="rId50" Type="http://schemas.openxmlformats.org/officeDocument/2006/relationships/hyperlink" Target="https://thebrilliantclub.org/news/raising-attainment-taking-an-evidence-based-approach-to-boosting-academic-achievement/" TargetMode="External"/><Relationship Id="rId55" Type="http://schemas.openxmlformats.org/officeDocument/2006/relationships/hyperlink" Target="https://www.universitiesuk.ac.uk/what-we-do/policy-and-research/publications/black-asian-and-minority-ethnic-student" TargetMode="External"/><Relationship Id="rId7" Type="http://schemas.openxmlformats.org/officeDocument/2006/relationships/webSettings" Target="webSettings.xml"/><Relationship Id="rId12" Type="http://schemas.openxmlformats.org/officeDocument/2006/relationships/hyperlink" Target="https://www.officeforstudents.org.uk/media/2922/using-standards-of-evidence-to-evaluate-impact-of-outreach.pdf" TargetMode="External"/><Relationship Id="rId17" Type="http://schemas.openxmlformats.org/officeDocument/2006/relationships/hyperlink" Target="https://www.officeforstudents.org.uk/media/2923/access-and-participation-standards-of-evidence.pdf" TargetMode="External"/><Relationship Id="rId25" Type="http://schemas.openxmlformats.org/officeDocument/2006/relationships/hyperlink" Target="https://www.sciencedirect.com/science/article/abs/pii/S003801212100094X" TargetMode="External"/><Relationship Id="rId33" Type="http://schemas.openxmlformats.org/officeDocument/2006/relationships/hyperlink" Target="https://www.ons.gov.uk" TargetMode="External"/><Relationship Id="rId38" Type="http://schemas.openxmlformats.org/officeDocument/2006/relationships/hyperlink" Target="https://www.officeforstudents.org.uk/media/2922/using-standards-of-evidence-to-evaluate-impact-of-outreach.pdf" TargetMode="External"/><Relationship Id="rId46" Type="http://schemas.openxmlformats.org/officeDocument/2006/relationships/hyperlink" Target="https://taso.org.uk/evidence/evaluation-guidance-resources/toc/" TargetMode="External"/><Relationship Id="rId2" Type="http://schemas.openxmlformats.org/officeDocument/2006/relationships/customXml" Target="../customXml/item2.xml"/><Relationship Id="rId16" Type="http://schemas.openxmlformats.org/officeDocument/2006/relationships/hyperlink" Target="https://taso.org.uk/evidence/evaluation-guidance-resources/toc/" TargetMode="External"/><Relationship Id="rId20" Type="http://schemas.openxmlformats.org/officeDocument/2006/relationships/hyperlink" Target="https://www.savethestudent.org/student-finance/maintenance-loans.html" TargetMode="External"/><Relationship Id="rId29" Type="http://schemas.openxmlformats.org/officeDocument/2006/relationships/hyperlink" Target="https://pubmed.ncbi.nlm.nih.gov/31686400/" TargetMode="External"/><Relationship Id="rId41" Type="http://schemas.openxmlformats.org/officeDocument/2006/relationships/hyperlink" Target="https://www.officeforstudents.org.uk/news-blog-and-events/press-and-media/students-from-disadvantaged-backgrounds-less-likely-to-complete-their-course/" TargetMode="External"/><Relationship Id="rId54" Type="http://schemas.openxmlformats.org/officeDocument/2006/relationships/hyperlink" Target="https://www.legislation.gov.uk/ukpga/2017/29/section/32/enact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higherwestyorks.ac.uk/resources/teachers-carers-advisors/key-downloads-workbooks-and-tools/" TargetMode="External"/><Relationship Id="rId24" Type="http://schemas.openxmlformats.org/officeDocument/2006/relationships/hyperlink" Target="https://gohigherwestyorks.ac.uk/resource/ghwy-outcomes-framework/" TargetMode="External"/><Relationship Id="rId32" Type="http://schemas.openxmlformats.org/officeDocument/2006/relationships/hyperlink" Target="https://ico.org.uk/for-organisations/uk-gdpr-guidance-and-resources/" TargetMode="External"/><Relationship Id="rId37" Type="http://schemas.openxmlformats.org/officeDocument/2006/relationships/hyperlink" Target="https://www.officeforstudents.org.uk/publications/improving-opportunity-and-choice-for-mature-students/" TargetMode="External"/><Relationship Id="rId40" Type="http://schemas.openxmlformats.org/officeDocument/2006/relationships/hyperlink" Target="https://www.officeforstudents.org.uk/data-and-analysis/access-and-participation-data-dashboard/data-dashboard/" TargetMode="External"/><Relationship Id="rId45" Type="http://schemas.openxmlformats.org/officeDocument/2006/relationships/hyperlink" Target="https://taso.org.uk/wp-content/uploads/Taso-full-report-the-value-of-higher-education.pdf" TargetMode="External"/><Relationship Id="rId53" Type="http://schemas.openxmlformats.org/officeDocument/2006/relationships/hyperlink" Target="https://www.evaluation.org.uk/app/uploads/2019/04/UK-Evaluation-Society-Guidelines-for-Good-Practice-in-Evaluation.pdf" TargetMode="Externa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fficeforstudents.org.uk/media/5038/wecd-abss-summative-evaluation-report.pdf" TargetMode="External"/><Relationship Id="rId23" Type="http://schemas.openxmlformats.org/officeDocument/2006/relationships/hyperlink" Target="https://gohigherwestyorks.ac.uk/resources/teachers-carers-advisors/key-downloads-workbooks-and-tools/" TargetMode="External"/><Relationship Id="rId28" Type="http://schemas.openxmlformats.org/officeDocument/2006/relationships/hyperlink" Target="https://www.hepi.ac.uk/wp-content/uploads/2015/01/HEPI-Report-82-Influences-on-Higher-Education-Participation.pdf" TargetMode="External"/><Relationship Id="rId36" Type="http://schemas.openxmlformats.org/officeDocument/2006/relationships/hyperlink" Target="https://www.officeforstudents.org.uk/for-providers/student-choice-and-flexible-learning/lifelong-learning-entitlement/" TargetMode="External"/><Relationship Id="rId49" Type="http://schemas.openxmlformats.org/officeDocument/2006/relationships/hyperlink" Target="https://www.officeforstudents.org.uk/publications/rapid-review-to-support-development-of-the-equality-of-opportunity-risk-register/"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fficeforstudents.org.uk/media/2923/access-and-participation-standards-of-evidence.pdf" TargetMode="External"/><Relationship Id="rId31" Type="http://schemas.openxmlformats.org/officeDocument/2006/relationships/hyperlink" Target="https://www.hesa.ac.uk/news/18-04-2023/ah2304-degree-attainment-socioeconomic-background" TargetMode="External"/><Relationship Id="rId44" Type="http://schemas.openxmlformats.org/officeDocument/2006/relationships/hyperlink" Target="https://www.suttontrust.com/wp-content/uploads/2019/12/PotentialForSuccess.pdf" TargetMode="External"/><Relationship Id="rId52" Type="http://schemas.openxmlformats.org/officeDocument/2006/relationships/hyperlink" Target="https://www.ucas.com/next-steps-what-experience-disabled-students-education?hash=Khe12QF8sBath7P7hVMMpU9lSoJrAtS5f9zaLjf2-M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ficeforstudents.org.uk/for-providers/equality-of-opportunity/addressing-barriers-to-student-success-programme/what-s-the-evidence/" TargetMode="External"/><Relationship Id="rId22" Type="http://schemas.openxmlformats.org/officeDocument/2006/relationships/hyperlink" Target="https://www.officeforstudents.org.uk/media/8080/taso-rapid-review.pdf" TargetMode="External"/><Relationship Id="rId27" Type="http://schemas.openxmlformats.org/officeDocument/2006/relationships/hyperlink" Target="https://bera-journals.onlinelibrary.wiley.com/doi/full/10.1002/rev3.3292" TargetMode="External"/><Relationship Id="rId30" Type="http://schemas.openxmlformats.org/officeDocument/2006/relationships/hyperlink" Target="https://www.gov.uk/government/publications/evaluation-of-disabled-students-allowances-dsas" TargetMode="External"/><Relationship Id="rId35" Type="http://schemas.openxmlformats.org/officeDocument/2006/relationships/hyperlink" Target="https://www.nus.org.uk/en/news/pound-in-your-pocket---research-into-student-financial-support/" TargetMode="External"/><Relationship Id="rId43" Type="http://schemas.openxmlformats.org/officeDocument/2006/relationships/hyperlink" Target="https://www.suttontrust.com/our-research/social-mobility-the-next-generation-lost-potential-at-age-16/" TargetMode="External"/><Relationship Id="rId48" Type="http://schemas.openxmlformats.org/officeDocument/2006/relationships/hyperlink" Target="https://cdn.taso.org.uk/wp-content/uploads/TASO_-Report_Impact-evaluation-with-small-cohorts_methodology-guidance_Secured-1-1.pdf" TargetMode="External"/><Relationship Id="rId56" Type="http://schemas.openxmlformats.org/officeDocument/2006/relationships/hyperlink" Target="https://explore-education-statistics.service.gov.uk/find-statistics/widening-participation-in-higher-education" TargetMode="External"/><Relationship Id="rId8" Type="http://schemas.openxmlformats.org/officeDocument/2006/relationships/footnotes" Target="footnotes.xml"/><Relationship Id="rId51" Type="http://schemas.openxmlformats.org/officeDocument/2006/relationships/hyperlink" Target="https://theconversation.com/university-study-is-designed-for-the-privileged-students-from-disadvantaged-backgrounds-suffer-133485"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Props1.xml><?xml version="1.0" encoding="utf-8"?>
<ds:datastoreItem xmlns:ds="http://schemas.openxmlformats.org/officeDocument/2006/customXml" ds:itemID="{E409E3B5-C8B8-4350-BB28-FFACD56E6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90F61-7FAB-4BBF-9D83-4364B4FEDDE8}">
  <ds:schemaRefs>
    <ds:schemaRef ds:uri="http://schemas.microsoft.com/sharepoint/v3/contenttype/forms"/>
  </ds:schemaRefs>
</ds:datastoreItem>
</file>

<file path=customXml/itemProps3.xml><?xml version="1.0" encoding="utf-8"?>
<ds:datastoreItem xmlns:ds="http://schemas.openxmlformats.org/officeDocument/2006/customXml" ds:itemID="{AC4408EC-9F18-4BD4-83E7-3480446DBEEF}">
  <ds:schemaRefs>
    <ds:schemaRef ds:uri="http://schemas.microsoft.com/office/2006/metadata/properties"/>
    <ds:schemaRef ds:uri="http://purl.org/dc/elements/1.1/"/>
    <ds:schemaRef ds:uri="http://schemas.openxmlformats.org/package/2006/metadata/core-properties"/>
    <ds:schemaRef ds:uri="94d37da4-e588-4fdc-a815-db6efb3d320e"/>
    <ds:schemaRef ds:uri="http://purl.org/dc/terms/"/>
    <ds:schemaRef ds:uri="http://www.w3.org/XML/1998/namespace"/>
    <ds:schemaRef ds:uri="http://schemas.microsoft.com/office/infopath/2007/PartnerControls"/>
    <ds:schemaRef ds:uri="http://schemas.microsoft.com/office/2006/documentManagement/types"/>
    <ds:schemaRef ds:uri="f0fdccca-e155-4202-b696-6956f78ece6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34</Pages>
  <Words>14638</Words>
  <Characters>83437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97880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Suggitt</dc:creator>
  <cp:keywords/>
  <dc:description/>
  <cp:lastModifiedBy>Amy Colwell</cp:lastModifiedBy>
  <cp:revision>10</cp:revision>
  <cp:lastPrinted>2024-09-09T08:25:00Z</cp:lastPrinted>
  <dcterms:created xsi:type="dcterms:W3CDTF">2025-01-31T13:24:00Z</dcterms:created>
  <dcterms:modified xsi:type="dcterms:W3CDTF">2025-01-31T14:22:00Z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